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ind w:left="0" w:leftChars="0" w:firstLine="0" w:firstLineChars="0"/>
        <w:rPr>
          <w:rFonts w:hint="eastAsia"/>
        </w:rPr>
      </w:pPr>
      <w:r>
        <w:rPr>
          <w:rFonts w:hint="eastAsia"/>
        </w:rPr>
        <w:t>附件1</w:t>
      </w:r>
    </w:p>
    <w:p>
      <w:pPr>
        <w:pStyle w:val="2"/>
        <w:bidi w:val="0"/>
        <w:spacing w:line="240" w:lineRule="auto"/>
        <w:rPr>
          <w:rFonts w:hint="eastAsia"/>
        </w:rPr>
      </w:pPr>
    </w:p>
    <w:p>
      <w:pPr>
        <w:pStyle w:val="2"/>
        <w:bidi w:val="0"/>
        <w:spacing w:line="240" w:lineRule="auto"/>
        <w:rPr>
          <w:rFonts w:hint="eastAsia"/>
        </w:rPr>
      </w:pPr>
    </w:p>
    <w:p>
      <w:pPr>
        <w:pStyle w:val="2"/>
        <w:bidi w:val="0"/>
        <w:spacing w:line="240" w:lineRule="auto"/>
        <w:rPr>
          <w:rFonts w:hint="eastAsia"/>
        </w:rPr>
      </w:pPr>
    </w:p>
    <w:p>
      <w:pPr>
        <w:pStyle w:val="7"/>
        <w:bidi w:val="0"/>
        <w:spacing w:line="240" w:lineRule="auto"/>
        <w:rPr>
          <w:rFonts w:hint="eastAsia"/>
          <w:sz w:val="56"/>
          <w:szCs w:val="36"/>
        </w:rPr>
      </w:pPr>
      <w:bookmarkStart w:id="0" w:name="_GoBack"/>
      <w:r>
        <w:rPr>
          <w:rFonts w:hint="eastAsia"/>
          <w:sz w:val="56"/>
          <w:szCs w:val="36"/>
        </w:rPr>
        <w:t>2024年度</w:t>
      </w:r>
    </w:p>
    <w:p>
      <w:pPr>
        <w:pStyle w:val="7"/>
        <w:bidi w:val="0"/>
        <w:spacing w:line="240" w:lineRule="auto"/>
        <w:rPr>
          <w:rFonts w:hint="eastAsia"/>
          <w:sz w:val="56"/>
          <w:szCs w:val="36"/>
        </w:rPr>
      </w:pPr>
      <w:r>
        <w:rPr>
          <w:rFonts w:hint="eastAsia"/>
          <w:sz w:val="56"/>
          <w:szCs w:val="36"/>
        </w:rPr>
        <w:t>湖南省妇女联合会本级决算公开</w:t>
      </w:r>
    </w:p>
    <w:bookmarkEnd w:id="0"/>
    <w:p>
      <w:pPr>
        <w:pStyle w:val="7"/>
        <w:bidi w:val="0"/>
        <w:rPr>
          <w:rFonts w:hint="eastAsia"/>
        </w:rPr>
      </w:pPr>
    </w:p>
    <w:p>
      <w:pPr>
        <w:pStyle w:val="7"/>
        <w:bidi w:val="0"/>
        <w:rPr>
          <w:rFonts w:hint="eastAsia"/>
        </w:rPr>
      </w:pPr>
    </w:p>
    <w:p>
      <w:pPr>
        <w:pStyle w:val="7"/>
        <w:bidi w:val="0"/>
        <w:rPr>
          <w:rFonts w:hint="eastAsia"/>
        </w:rPr>
      </w:pPr>
    </w:p>
    <w:p>
      <w:pPr>
        <w:pStyle w:val="7"/>
        <w:bidi w:val="0"/>
        <w:rPr>
          <w:rFonts w:hint="eastAsia"/>
        </w:rPr>
      </w:pPr>
    </w:p>
    <w:p>
      <w:pPr>
        <w:pStyle w:val="7"/>
        <w:bidi w:val="0"/>
        <w:rPr>
          <w:rFonts w:hint="eastAsia"/>
        </w:rPr>
      </w:pPr>
    </w:p>
    <w:p>
      <w:pPr>
        <w:pStyle w:val="7"/>
        <w:bidi w:val="0"/>
        <w:rPr>
          <w:rFonts w:hint="eastAsia"/>
        </w:rPr>
      </w:pPr>
    </w:p>
    <w:p>
      <w:pPr>
        <w:spacing w:line="240" w:lineRule="auto"/>
        <w:rPr>
          <w:rFonts w:hint="eastAsia"/>
          <w:sz w:val="40"/>
          <w:szCs w:val="32"/>
        </w:rPr>
      </w:pPr>
      <w:r>
        <w:rPr>
          <w:rFonts w:hint="eastAsia"/>
          <w:sz w:val="40"/>
          <w:szCs w:val="32"/>
        </w:rPr>
        <w:br w:type="page"/>
      </w:r>
    </w:p>
    <w:p>
      <w:pPr>
        <w:pStyle w:val="7"/>
        <w:bidi w:val="0"/>
        <w:rPr>
          <w:rFonts w:hint="eastAsia"/>
        </w:rPr>
      </w:pPr>
      <w:r>
        <w:rPr>
          <w:rFonts w:hint="eastAsia"/>
        </w:rPr>
        <w:t>目  录</w:t>
      </w:r>
    </w:p>
    <w:p>
      <w:pPr>
        <w:pStyle w:val="2"/>
        <w:bidi w:val="0"/>
        <w:rPr>
          <w:rFonts w:hint="eastAsia"/>
        </w:rPr>
      </w:pPr>
    </w:p>
    <w:p>
      <w:pPr>
        <w:pStyle w:val="14"/>
        <w:bidi w:val="0"/>
        <w:rPr>
          <w:rFonts w:hint="eastAsia"/>
        </w:rPr>
      </w:pPr>
      <w:r>
        <w:rPr>
          <w:rFonts w:hint="eastAsia"/>
        </w:rPr>
        <w:t>第一部分 湖南省妇女联合会单位概况</w:t>
      </w:r>
    </w:p>
    <w:p>
      <w:pPr>
        <w:pStyle w:val="2"/>
        <w:bidi w:val="0"/>
        <w:rPr>
          <w:rFonts w:hint="eastAsia"/>
        </w:rPr>
      </w:pPr>
      <w:r>
        <w:rPr>
          <w:rFonts w:hint="eastAsia"/>
        </w:rPr>
        <w:t>一、部门职责</w:t>
      </w:r>
    </w:p>
    <w:p>
      <w:pPr>
        <w:pStyle w:val="2"/>
        <w:bidi w:val="0"/>
        <w:rPr>
          <w:rFonts w:hint="eastAsia"/>
        </w:rPr>
      </w:pPr>
      <w:r>
        <w:rPr>
          <w:rFonts w:hint="eastAsia"/>
        </w:rPr>
        <w:t>二、机构设置及决算单位构成</w:t>
      </w:r>
    </w:p>
    <w:p>
      <w:pPr>
        <w:pStyle w:val="14"/>
        <w:bidi w:val="0"/>
        <w:rPr>
          <w:rFonts w:hint="eastAsia"/>
        </w:rPr>
      </w:pPr>
      <w:r>
        <w:rPr>
          <w:rFonts w:hint="eastAsia"/>
        </w:rPr>
        <w:t>第二部分 部门决算表</w:t>
      </w:r>
    </w:p>
    <w:p>
      <w:pPr>
        <w:pStyle w:val="2"/>
        <w:bidi w:val="0"/>
        <w:rPr>
          <w:rFonts w:hint="eastAsia"/>
        </w:rPr>
      </w:pPr>
      <w:r>
        <w:rPr>
          <w:rFonts w:hint="eastAsia"/>
        </w:rPr>
        <w:t>一、收入支出决算总表</w:t>
      </w:r>
    </w:p>
    <w:p>
      <w:pPr>
        <w:pStyle w:val="2"/>
        <w:bidi w:val="0"/>
        <w:rPr>
          <w:rFonts w:hint="eastAsia"/>
        </w:rPr>
      </w:pPr>
      <w:r>
        <w:rPr>
          <w:rFonts w:hint="eastAsia"/>
        </w:rPr>
        <w:t>二、收入决算表</w:t>
      </w:r>
    </w:p>
    <w:p>
      <w:pPr>
        <w:pStyle w:val="2"/>
        <w:bidi w:val="0"/>
        <w:rPr>
          <w:rFonts w:hint="eastAsia"/>
        </w:rPr>
      </w:pPr>
      <w:r>
        <w:rPr>
          <w:rFonts w:hint="eastAsia"/>
        </w:rPr>
        <w:t>三、支出决算表</w:t>
      </w:r>
    </w:p>
    <w:p>
      <w:pPr>
        <w:pStyle w:val="2"/>
        <w:bidi w:val="0"/>
        <w:rPr>
          <w:rFonts w:hint="eastAsia"/>
        </w:rPr>
      </w:pPr>
      <w:r>
        <w:rPr>
          <w:rFonts w:hint="eastAsia"/>
        </w:rPr>
        <w:t>四、财政拨款收入支出决算总表</w:t>
      </w:r>
    </w:p>
    <w:p>
      <w:pPr>
        <w:pStyle w:val="2"/>
        <w:bidi w:val="0"/>
        <w:rPr>
          <w:rFonts w:hint="eastAsia"/>
        </w:rPr>
      </w:pPr>
      <w:r>
        <w:rPr>
          <w:rFonts w:hint="eastAsia"/>
        </w:rPr>
        <w:t>五、一般公共预算财政拨款支出决算表</w:t>
      </w:r>
    </w:p>
    <w:p>
      <w:pPr>
        <w:pStyle w:val="2"/>
        <w:bidi w:val="0"/>
        <w:rPr>
          <w:rFonts w:hint="eastAsia"/>
        </w:rPr>
      </w:pPr>
      <w:r>
        <w:rPr>
          <w:rFonts w:hint="eastAsia"/>
        </w:rPr>
        <w:t>六、一般公共预算财政拨款基本支出决算明细表</w:t>
      </w:r>
    </w:p>
    <w:p>
      <w:pPr>
        <w:pStyle w:val="2"/>
        <w:bidi w:val="0"/>
        <w:rPr>
          <w:rFonts w:hint="eastAsia"/>
        </w:rPr>
      </w:pPr>
      <w:r>
        <w:rPr>
          <w:rFonts w:hint="eastAsia"/>
        </w:rPr>
        <w:t>七、政府性基金预算财政拨款收入支出决算表</w:t>
      </w:r>
    </w:p>
    <w:p>
      <w:pPr>
        <w:pStyle w:val="2"/>
        <w:bidi w:val="0"/>
        <w:rPr>
          <w:rFonts w:hint="eastAsia"/>
        </w:rPr>
      </w:pPr>
      <w:r>
        <w:rPr>
          <w:rFonts w:hint="eastAsia"/>
        </w:rPr>
        <w:t>八、国有资本经营预算财政拨款支出决算表</w:t>
      </w:r>
    </w:p>
    <w:p>
      <w:pPr>
        <w:pStyle w:val="2"/>
        <w:bidi w:val="0"/>
        <w:rPr>
          <w:rFonts w:hint="eastAsia"/>
        </w:rPr>
      </w:pPr>
      <w:r>
        <w:rPr>
          <w:rFonts w:hint="eastAsia"/>
        </w:rPr>
        <w:t>九、财政拨款“三公”经费支出决算表</w:t>
      </w:r>
    </w:p>
    <w:p>
      <w:pPr>
        <w:pStyle w:val="14"/>
        <w:bidi w:val="0"/>
        <w:rPr>
          <w:rFonts w:hint="eastAsia"/>
        </w:rPr>
      </w:pPr>
      <w:r>
        <w:rPr>
          <w:rFonts w:hint="eastAsia"/>
        </w:rPr>
        <w:t>第三部分 部门决算情况说明</w:t>
      </w:r>
    </w:p>
    <w:p>
      <w:pPr>
        <w:pStyle w:val="2"/>
        <w:bidi w:val="0"/>
        <w:rPr>
          <w:rFonts w:hint="eastAsia"/>
        </w:rPr>
      </w:pPr>
      <w:r>
        <w:rPr>
          <w:rFonts w:hint="eastAsia"/>
        </w:rPr>
        <w:t>一、收入支出决算总体情况说明</w:t>
      </w:r>
    </w:p>
    <w:p>
      <w:pPr>
        <w:pStyle w:val="2"/>
        <w:bidi w:val="0"/>
        <w:rPr>
          <w:rFonts w:hint="eastAsia"/>
        </w:rPr>
      </w:pPr>
      <w:r>
        <w:rPr>
          <w:rFonts w:hint="eastAsia"/>
        </w:rPr>
        <w:t>二、收入决算情况说明</w:t>
      </w:r>
    </w:p>
    <w:p>
      <w:pPr>
        <w:pStyle w:val="2"/>
        <w:bidi w:val="0"/>
        <w:rPr>
          <w:rFonts w:hint="eastAsia"/>
        </w:rPr>
      </w:pPr>
      <w:r>
        <w:rPr>
          <w:rFonts w:hint="eastAsia"/>
        </w:rPr>
        <w:t>三、支出决算情况说明</w:t>
      </w:r>
    </w:p>
    <w:p>
      <w:pPr>
        <w:pStyle w:val="2"/>
        <w:bidi w:val="0"/>
        <w:rPr>
          <w:rFonts w:hint="eastAsia"/>
        </w:rPr>
      </w:pPr>
      <w:r>
        <w:rPr>
          <w:rFonts w:hint="eastAsia"/>
        </w:rPr>
        <w:t>四、财政拨款收入支出决算总体情况说明</w:t>
      </w:r>
    </w:p>
    <w:p>
      <w:pPr>
        <w:pStyle w:val="2"/>
        <w:bidi w:val="0"/>
        <w:rPr>
          <w:rFonts w:hint="eastAsia"/>
        </w:rPr>
      </w:pPr>
      <w:r>
        <w:rPr>
          <w:rFonts w:hint="eastAsia"/>
        </w:rPr>
        <w:t>五、一般公共预算财政拨款支出决算情况说明</w:t>
      </w:r>
    </w:p>
    <w:p>
      <w:pPr>
        <w:pStyle w:val="2"/>
        <w:bidi w:val="0"/>
        <w:rPr>
          <w:rFonts w:hint="eastAsia"/>
        </w:rPr>
      </w:pPr>
      <w:r>
        <w:rPr>
          <w:rFonts w:hint="eastAsia"/>
        </w:rPr>
        <w:t>六、一般公共预算财政拨款基本支出决算情况说明</w:t>
      </w:r>
    </w:p>
    <w:p>
      <w:pPr>
        <w:pStyle w:val="2"/>
        <w:bidi w:val="0"/>
        <w:rPr>
          <w:rFonts w:hint="eastAsia"/>
        </w:rPr>
      </w:pPr>
      <w:r>
        <w:rPr>
          <w:rFonts w:hint="eastAsia"/>
        </w:rPr>
        <w:t>七、财政拨款“三公”经费支出决算情况说明</w:t>
      </w:r>
    </w:p>
    <w:p>
      <w:pPr>
        <w:pStyle w:val="2"/>
        <w:bidi w:val="0"/>
        <w:rPr>
          <w:rFonts w:hint="eastAsia"/>
        </w:rPr>
      </w:pPr>
      <w:r>
        <w:rPr>
          <w:rFonts w:hint="eastAsia"/>
        </w:rPr>
        <w:t>八、政府性基金预算收入支出决算情况</w:t>
      </w:r>
    </w:p>
    <w:p>
      <w:pPr>
        <w:pStyle w:val="2"/>
        <w:bidi w:val="0"/>
        <w:rPr>
          <w:rFonts w:hint="eastAsia"/>
        </w:rPr>
      </w:pPr>
      <w:r>
        <w:rPr>
          <w:rFonts w:hint="eastAsia"/>
        </w:rPr>
        <w:t>九、关于机关运行经费支出说明</w:t>
      </w:r>
    </w:p>
    <w:p>
      <w:pPr>
        <w:pStyle w:val="2"/>
        <w:bidi w:val="0"/>
        <w:rPr>
          <w:rFonts w:hint="eastAsia"/>
        </w:rPr>
      </w:pPr>
      <w:r>
        <w:rPr>
          <w:rFonts w:hint="eastAsia"/>
        </w:rPr>
        <w:t>十、一般性支出情况说明</w:t>
      </w:r>
    </w:p>
    <w:p>
      <w:pPr>
        <w:pStyle w:val="2"/>
        <w:bidi w:val="0"/>
        <w:rPr>
          <w:rFonts w:hint="eastAsia"/>
        </w:rPr>
      </w:pPr>
      <w:r>
        <w:rPr>
          <w:rFonts w:hint="eastAsia"/>
        </w:rPr>
        <w:t>十一、关于政府采购支出说明</w:t>
      </w:r>
    </w:p>
    <w:p>
      <w:pPr>
        <w:pStyle w:val="2"/>
        <w:bidi w:val="0"/>
        <w:rPr>
          <w:rFonts w:hint="eastAsia"/>
        </w:rPr>
      </w:pPr>
      <w:r>
        <w:rPr>
          <w:rFonts w:hint="eastAsia"/>
        </w:rPr>
        <w:t>十二、关于国有资产占用情况说明</w:t>
      </w:r>
    </w:p>
    <w:p>
      <w:pPr>
        <w:pStyle w:val="2"/>
        <w:bidi w:val="0"/>
        <w:rPr>
          <w:rFonts w:hint="eastAsia"/>
        </w:rPr>
      </w:pPr>
      <w:r>
        <w:rPr>
          <w:rFonts w:hint="eastAsia"/>
        </w:rPr>
        <w:t>十三、关于2024年度预算绩效管理情况的说明</w:t>
      </w:r>
    </w:p>
    <w:p>
      <w:pPr>
        <w:pStyle w:val="14"/>
        <w:bidi w:val="0"/>
        <w:rPr>
          <w:rFonts w:hint="eastAsia"/>
        </w:rPr>
      </w:pPr>
      <w:r>
        <w:rPr>
          <w:rFonts w:hint="eastAsia"/>
        </w:rPr>
        <w:t>第四部分 名词解释</w:t>
      </w:r>
    </w:p>
    <w:p>
      <w:pPr>
        <w:pStyle w:val="14"/>
        <w:bidi w:val="0"/>
        <w:rPr>
          <w:rFonts w:hint="eastAsia"/>
        </w:rPr>
      </w:pPr>
      <w:r>
        <w:rPr>
          <w:rFonts w:hint="eastAsia"/>
        </w:rPr>
        <w:t>第五部分 附件</w:t>
      </w:r>
    </w:p>
    <w:p>
      <w:pPr>
        <w:rPr>
          <w:rFonts w:hint="eastAsia"/>
        </w:rPr>
      </w:pPr>
      <w:r>
        <w:rPr>
          <w:rFonts w:hint="eastAsia"/>
        </w:rPr>
        <w:br w:type="page"/>
      </w:r>
    </w:p>
    <w:p>
      <w:pPr>
        <w:pStyle w:val="7"/>
        <w:bidi w:val="0"/>
        <w:rPr>
          <w:rFonts w:hint="eastAsia"/>
        </w:rPr>
      </w:pPr>
      <w:r>
        <w:rPr>
          <w:rFonts w:hint="eastAsia"/>
        </w:rPr>
        <w:t>第一部分</w:t>
      </w:r>
    </w:p>
    <w:p>
      <w:pPr>
        <w:pStyle w:val="7"/>
        <w:bidi w:val="0"/>
        <w:rPr>
          <w:rFonts w:hint="eastAsia"/>
        </w:rPr>
      </w:pPr>
      <w:r>
        <w:rPr>
          <w:rFonts w:hint="eastAsia"/>
        </w:rPr>
        <w:t>湖南省妇女联合会本级概况</w:t>
      </w:r>
    </w:p>
    <w:p>
      <w:pPr>
        <w:pStyle w:val="2"/>
        <w:bidi w:val="0"/>
        <w:rPr>
          <w:rFonts w:hint="eastAsia"/>
        </w:rPr>
      </w:pPr>
    </w:p>
    <w:p>
      <w:pPr>
        <w:pStyle w:val="14"/>
        <w:bidi w:val="0"/>
        <w:rPr>
          <w:rFonts w:hint="eastAsia"/>
        </w:rPr>
      </w:pPr>
      <w:r>
        <w:rPr>
          <w:rFonts w:hint="eastAsia"/>
        </w:rPr>
        <w:t>一、部门职责</w:t>
      </w:r>
    </w:p>
    <w:p>
      <w:pPr>
        <w:pStyle w:val="2"/>
        <w:bidi w:val="0"/>
        <w:rPr>
          <w:rFonts w:hint="eastAsia"/>
        </w:rPr>
      </w:pPr>
      <w:r>
        <w:rPr>
          <w:rFonts w:hint="eastAsia"/>
        </w:rPr>
        <w:t>（一）组织、引导妇女学习近平新时代中国特色社会主义思想，增强政治意识、大局意识、核心意识、看齐意识，坚定中国特色社会主义道路自信、理论自信、制度自信、文化自信。</w:t>
      </w:r>
    </w:p>
    <w:p>
      <w:pPr>
        <w:pStyle w:val="2"/>
        <w:bidi w:val="0"/>
        <w:rPr>
          <w:rFonts w:hint="eastAsia"/>
        </w:rPr>
      </w:pPr>
      <w:r>
        <w:rPr>
          <w:rFonts w:hint="eastAsia"/>
        </w:rPr>
        <w:t>（二）团结、动员妇女投身改革开放和社会主义经济建设、政治建设、文化建设、社会建设和生态文明建设，在中国特色社会主义伟大实践中发挥积极作用。</w:t>
      </w:r>
    </w:p>
    <w:p>
      <w:pPr>
        <w:pStyle w:val="2"/>
        <w:bidi w:val="0"/>
        <w:rPr>
          <w:rFonts w:hint="eastAsia"/>
        </w:rPr>
      </w:pPr>
      <w:r>
        <w:rPr>
          <w:rFonts w:hint="eastAsia"/>
        </w:rPr>
        <w:t>（三）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pStyle w:val="2"/>
        <w:bidi w:val="0"/>
        <w:rPr>
          <w:rFonts w:hint="eastAsia"/>
        </w:rPr>
      </w:pPr>
      <w:r>
        <w:rPr>
          <w:rFonts w:hint="eastAsia"/>
        </w:rPr>
        <w:t>（四）依法维护妇女儿童合法权益，倾听妇女意见，反映妇女诉求，向各级国家机关提出有关建议，要求并协助有关部门或单位查处侵害妇女儿童权益的行为，为权益受侵害的妇女儿童提供帮助。</w:t>
      </w:r>
    </w:p>
    <w:p>
      <w:pPr>
        <w:pStyle w:val="2"/>
        <w:bidi w:val="0"/>
        <w:rPr>
          <w:rFonts w:hint="eastAsia"/>
        </w:rPr>
      </w:pPr>
      <w:r>
        <w:rPr>
          <w:rFonts w:hint="eastAsia"/>
        </w:rPr>
        <w:t>（五）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pStyle w:val="2"/>
        <w:bidi w:val="0"/>
        <w:rPr>
          <w:rFonts w:hint="eastAsia"/>
        </w:rPr>
      </w:pPr>
      <w:r>
        <w:rPr>
          <w:rFonts w:hint="eastAsia"/>
        </w:rPr>
        <w:t>（六）联系和服务妇女，关心妇女工作生活，拓宽服务渠道，建设服务阵地，发展公益事业，壮大巾帼志愿者队伍，加强妇女之家建设。加强与社会各界的联系，推动全社会为妇女儿童和家庭服务。</w:t>
      </w:r>
    </w:p>
    <w:p>
      <w:pPr>
        <w:pStyle w:val="2"/>
        <w:bidi w:val="0"/>
        <w:rPr>
          <w:rFonts w:hint="eastAsia"/>
        </w:rPr>
      </w:pPr>
      <w:r>
        <w:rPr>
          <w:rFonts w:hint="eastAsia"/>
        </w:rPr>
        <w:t>（七）引导妇女在家庭生活中发挥独特作用，组织开展家庭文明创建活动，指导推进家庭教育工作，传承中华民族家庭美德，树立良好家风。</w:t>
      </w:r>
    </w:p>
    <w:p>
      <w:pPr>
        <w:pStyle w:val="14"/>
        <w:bidi w:val="0"/>
        <w:rPr>
          <w:rFonts w:hint="eastAsia"/>
        </w:rPr>
      </w:pPr>
      <w:r>
        <w:rPr>
          <w:rFonts w:hint="eastAsia"/>
        </w:rPr>
        <w:t>二、机构设置及决算单位构成</w:t>
      </w:r>
    </w:p>
    <w:p>
      <w:pPr>
        <w:pStyle w:val="2"/>
        <w:bidi w:val="0"/>
        <w:rPr>
          <w:rFonts w:hint="eastAsia"/>
        </w:rPr>
      </w:pPr>
      <w:r>
        <w:rPr>
          <w:rFonts w:hint="eastAsia"/>
        </w:rPr>
        <w:t>（一）内设机构设置。湖南省妇女联合会内设机构包括：办公室、组织联络部、机关党委、宣传部、妇女发展部、权益部、家庭和儿童工作部、省政府妇儿工委办8个部室。</w:t>
      </w:r>
    </w:p>
    <w:p>
      <w:pPr>
        <w:pStyle w:val="2"/>
        <w:bidi w:val="0"/>
        <w:rPr>
          <w:rFonts w:hint="eastAsia"/>
        </w:rPr>
      </w:pPr>
      <w:r>
        <w:rPr>
          <w:rFonts w:hint="eastAsia"/>
        </w:rPr>
        <w:t>（二）决算单位构成。湖南省妇女联合会2024年本级决算公开单位构成包括：湖南省妇联本级。</w:t>
      </w:r>
    </w:p>
    <w:p>
      <w:pPr>
        <w:rPr>
          <w:rFonts w:hint="eastAsia"/>
        </w:rPr>
        <w:sectPr>
          <w:footerReference r:id="rId5" w:type="default"/>
          <w:pgSz w:w="11906" w:h="16838"/>
          <w:pgMar w:top="2098" w:right="1531" w:bottom="1984" w:left="1531" w:header="851" w:footer="1531" w:gutter="0"/>
          <w:pgNumType w:fmt="decimal"/>
          <w:cols w:space="425" w:num="1"/>
          <w:docGrid w:type="lines" w:linePitch="312" w:charSpace="0"/>
        </w:sectPr>
      </w:pPr>
      <w:r>
        <w:rPr>
          <w:rFonts w:hint="eastAsia"/>
        </w:rPr>
        <w:br w:type="page"/>
      </w:r>
    </w:p>
    <w:p>
      <w:pPr>
        <w:pStyle w:val="7"/>
        <w:bidi w:val="0"/>
        <w:rPr>
          <w:rFonts w:hint="eastAsia"/>
        </w:rPr>
      </w:pPr>
      <w:r>
        <w:rPr>
          <w:rFonts w:hint="eastAsia"/>
        </w:rPr>
        <w:t>第二部分  部门决算表</w:t>
      </w:r>
    </w:p>
    <w:p>
      <w:pPr>
        <w:pStyle w:val="9"/>
        <w:bidi w:val="0"/>
        <w:rPr>
          <w:rFonts w:hint="eastAsia"/>
        </w:rPr>
      </w:pPr>
      <w:r>
        <w:rPr>
          <w:rFonts w:hint="eastAsia"/>
        </w:rPr>
        <w:t>收入支出决算总表</w:t>
      </w:r>
    </w:p>
    <w:p>
      <w:pPr>
        <w:pStyle w:val="9"/>
        <w:bidi w:val="0"/>
        <w:rPr>
          <w:rFonts w:hint="eastAsia"/>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43"/>
        <w:gridCol w:w="708"/>
        <w:gridCol w:w="1634"/>
        <w:gridCol w:w="4050"/>
        <w:gridCol w:w="73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50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收入</w:t>
            </w:r>
          </w:p>
        </w:tc>
        <w:tc>
          <w:tcPr>
            <w:tcW w:w="250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行次</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金额</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行次</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1</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一、一般公共预算财政拨款收入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29,575,500.00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一、一般公共服务支出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24,425,701.71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二、政府性基金预算财政拨款收入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二、外交支出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三、国有资本经营预算财政拨款收入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三、国防支出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四、上级补助收入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四、公共安全支出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五、事业收入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五、教育支出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六、经营收入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六、科学技术支出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七、附属单位上缴收入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七、文化旅游体育与传媒支出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八、其他收入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八、社会保障和就业支出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2,895,486.79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九、卫生健康支出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十、节能环保支出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十一、城乡社区支出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十二、农林水支出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十三、交通运输支出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十四、资源勘探工业信息等支出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十五、商业服务业等支出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十六、金融支出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十七、援助其他地区支出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十八、自然资源海洋气象等支出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十九、住房保障支出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二十、粮油物资储备支出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二十一、国有资本经营预算支出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二十二、灾害防治及应急管理支出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二十三、其他支出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二十四、债务还本支出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二十五、债务付息支出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二十六、抗疫特别国债安排的支出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本年收入合计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29,575,500.00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本年支出合计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29,742,411.00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使用非财政拨款结余（含专用结余）</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结余分配</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年初结转和结余</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4,606,032.36</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年末结转和结余</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4,439,121.36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总计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34,181,532.36</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总计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34,181,532.36</w:t>
            </w: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sz w:val="24"/>
          <w:szCs w:val="21"/>
        </w:rPr>
      </w:pPr>
      <w:r>
        <w:rPr>
          <w:rFonts w:hint="eastAsia"/>
          <w:sz w:val="24"/>
          <w:szCs w:val="21"/>
        </w:rPr>
        <w:t>注：1.</w:t>
      </w:r>
      <w:r>
        <w:rPr>
          <w:rFonts w:hint="default"/>
          <w:sz w:val="24"/>
          <w:szCs w:val="21"/>
        </w:rPr>
        <w:t xml:space="preserve"> </w:t>
      </w:r>
      <w:r>
        <w:rPr>
          <w:rFonts w:hint="eastAsia"/>
          <w:sz w:val="24"/>
          <w:szCs w:val="21"/>
        </w:rPr>
        <w:t>本表反映部门本年度的总收支和年末结转结余情况。</w:t>
      </w:r>
    </w:p>
    <w:p>
      <w:pPr>
        <w:pStyle w:val="10"/>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1"/>
        </w:rPr>
      </w:pPr>
      <w:r>
        <w:rPr>
          <w:rFonts w:hint="eastAsia"/>
          <w:sz w:val="24"/>
          <w:szCs w:val="21"/>
        </w:rPr>
        <w:t>2.</w:t>
      </w:r>
      <w:r>
        <w:rPr>
          <w:rFonts w:hint="default"/>
          <w:sz w:val="24"/>
          <w:szCs w:val="21"/>
        </w:rPr>
        <w:t xml:space="preserve"> </w:t>
      </w:r>
      <w:r>
        <w:rPr>
          <w:rFonts w:hint="eastAsia"/>
          <w:sz w:val="24"/>
          <w:szCs w:val="21"/>
        </w:rPr>
        <w:t>本套报表金额单位转换时可能存在尾数误差。</w:t>
      </w:r>
    </w:p>
    <w:p>
      <w:pPr>
        <w:rPr>
          <w:rFonts w:hint="eastAsia"/>
          <w:sz w:val="24"/>
          <w:szCs w:val="21"/>
        </w:rPr>
      </w:pPr>
      <w:r>
        <w:rPr>
          <w:rFonts w:hint="eastAsia"/>
          <w:sz w:val="24"/>
          <w:szCs w:val="21"/>
        </w:rPr>
        <w:br w:type="page"/>
      </w:r>
    </w:p>
    <w:p>
      <w:pPr>
        <w:pStyle w:val="9"/>
        <w:bidi w:val="0"/>
        <w:rPr>
          <w:rFonts w:hint="eastAsia"/>
        </w:rPr>
      </w:pPr>
      <w:r>
        <w:rPr>
          <w:rFonts w:hint="eastAsia"/>
        </w:rPr>
        <w:t>收入决算表</w:t>
      </w:r>
    </w:p>
    <w:p>
      <w:pPr>
        <w:pStyle w:val="9"/>
        <w:bidi w:val="0"/>
        <w:rPr>
          <w:rFonts w:hint="eastAsia"/>
        </w:rPr>
      </w:pPr>
    </w:p>
    <w:tbl>
      <w:tblPr>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6"/>
        <w:gridCol w:w="4069"/>
        <w:gridCol w:w="1596"/>
        <w:gridCol w:w="1596"/>
        <w:gridCol w:w="1058"/>
        <w:gridCol w:w="853"/>
        <w:gridCol w:w="778"/>
        <w:gridCol w:w="119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61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本年收入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合计</w:t>
            </w:r>
          </w:p>
        </w:tc>
        <w:tc>
          <w:tcPr>
            <w:tcW w:w="61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财政拨款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收入</w:t>
            </w:r>
          </w:p>
        </w:tc>
        <w:tc>
          <w:tcPr>
            <w:tcW w:w="40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上级补助收入</w:t>
            </w:r>
          </w:p>
        </w:tc>
        <w:tc>
          <w:tcPr>
            <w:tcW w:w="32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事业收入</w:t>
            </w:r>
          </w:p>
        </w:tc>
        <w:tc>
          <w:tcPr>
            <w:tcW w:w="30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经营收入</w:t>
            </w:r>
          </w:p>
        </w:tc>
        <w:tc>
          <w:tcPr>
            <w:tcW w:w="4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附属单位上缴收入</w:t>
            </w:r>
          </w:p>
        </w:tc>
        <w:tc>
          <w:tcPr>
            <w:tcW w:w="28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代码</w:t>
            </w:r>
          </w:p>
        </w:tc>
        <w:tc>
          <w:tcPr>
            <w:tcW w:w="1569" w:type="pct"/>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61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61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40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32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3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28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1569"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61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61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40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32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3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8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1569"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61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61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40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32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3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46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8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7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6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1</w:t>
            </w:r>
          </w:p>
        </w:tc>
        <w:tc>
          <w:tcPr>
            <w:tcW w:w="61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2</w:t>
            </w:r>
          </w:p>
        </w:tc>
        <w:tc>
          <w:tcPr>
            <w:tcW w:w="4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3</w:t>
            </w:r>
          </w:p>
        </w:tc>
        <w:tc>
          <w:tcPr>
            <w:tcW w:w="32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4</w:t>
            </w:r>
          </w:p>
        </w:tc>
        <w:tc>
          <w:tcPr>
            <w:tcW w:w="30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5</w:t>
            </w:r>
          </w:p>
        </w:tc>
        <w:tc>
          <w:tcPr>
            <w:tcW w:w="46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6</w:t>
            </w:r>
          </w:p>
        </w:tc>
        <w:tc>
          <w:tcPr>
            <w:tcW w:w="28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7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合计</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29,575,500.00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29,575,500.00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2012901</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行政运行</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10,018,790.71</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10,018,790.71</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2012902</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一般行政管理事务</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14,240,000.00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14,240,000.00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2050803</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培训支出</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2070605</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出版发行</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2080501</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行政单位离退休</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2080505</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机关事业单位基本养老保险缴费支出</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977,686.79</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977,686.79</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2080801</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死亡抚恤</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160,000.00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160,000.00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2089999</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其他社会保障和就业支出</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2101101</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行政单位医疗</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0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2210201</w:t>
            </w:r>
          </w:p>
        </w:tc>
        <w:tc>
          <w:tcPr>
            <w:tcW w:w="1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住房公积金</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6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3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2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注：本表反映部门本年度取得的各项收入情况。</w:t>
      </w:r>
    </w:p>
    <w:p>
      <w:pPr>
        <w:rPr>
          <w:rFonts w:hint="eastAsia" w:ascii="Times New Roman" w:hAnsi="Times New Roman"/>
          <w:sz w:val="24"/>
          <w:szCs w:val="21"/>
        </w:rPr>
      </w:pPr>
      <w:r>
        <w:rPr>
          <w:rFonts w:hint="eastAsia" w:ascii="Times New Roman" w:hAnsi="Times New Roman"/>
          <w:sz w:val="24"/>
          <w:szCs w:val="21"/>
        </w:rPr>
        <w:br w:type="page"/>
      </w:r>
    </w:p>
    <w:p>
      <w:pPr>
        <w:pStyle w:val="9"/>
        <w:bidi w:val="0"/>
        <w:rPr>
          <w:rFonts w:hint="eastAsia"/>
        </w:rPr>
      </w:pPr>
      <w:r>
        <w:rPr>
          <w:rFonts w:hint="eastAsia"/>
        </w:rPr>
        <w:t>支出决算表</w:t>
      </w:r>
    </w:p>
    <w:p>
      <w:pPr>
        <w:pStyle w:val="2"/>
        <w:rPr>
          <w:rFonts w:hint="eastAsia"/>
        </w:rPr>
      </w:pPr>
    </w:p>
    <w:tbl>
      <w:tblP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6"/>
        <w:gridCol w:w="4056"/>
        <w:gridCol w:w="1596"/>
        <w:gridCol w:w="1596"/>
        <w:gridCol w:w="1596"/>
        <w:gridCol w:w="1022"/>
        <w:gridCol w:w="102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2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5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本年支出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合计</w:t>
            </w:r>
          </w:p>
        </w:tc>
        <w:tc>
          <w:tcPr>
            <w:tcW w:w="5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基本支出</w:t>
            </w:r>
          </w:p>
        </w:tc>
        <w:tc>
          <w:tcPr>
            <w:tcW w:w="5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项目支出</w:t>
            </w:r>
          </w:p>
        </w:tc>
        <w:tc>
          <w:tcPr>
            <w:tcW w:w="55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上缴上级支出</w:t>
            </w:r>
          </w:p>
        </w:tc>
        <w:tc>
          <w:tcPr>
            <w:tcW w:w="55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经营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支出</w:t>
            </w:r>
          </w:p>
        </w:tc>
        <w:tc>
          <w:tcPr>
            <w:tcW w:w="55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代码</w:t>
            </w:r>
          </w:p>
        </w:tc>
        <w:tc>
          <w:tcPr>
            <w:tcW w:w="1290" w:type="pct"/>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1290"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1290"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55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2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5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1</w:t>
            </w:r>
          </w:p>
        </w:tc>
        <w:tc>
          <w:tcPr>
            <w:tcW w:w="5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2</w:t>
            </w:r>
          </w:p>
        </w:tc>
        <w:tc>
          <w:tcPr>
            <w:tcW w:w="5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3</w:t>
            </w:r>
          </w:p>
        </w:tc>
        <w:tc>
          <w:tcPr>
            <w:tcW w:w="55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4</w:t>
            </w:r>
          </w:p>
        </w:tc>
        <w:tc>
          <w:tcPr>
            <w:tcW w:w="55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5</w:t>
            </w:r>
          </w:p>
        </w:tc>
        <w:tc>
          <w:tcPr>
            <w:tcW w:w="55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2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合计</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29,742,411.00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14,627,976.28</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15,114,434.72</w:t>
            </w: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2012901</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行政运行</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9,858,266.99</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9,611,266.99</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247,000.00</w:t>
            </w: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2012902</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一般行政管理事务</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2050803</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培训支出</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12,622.50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200,000.00</w:t>
            </w: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2070605</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出版发行</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2080501</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行政单位离退休</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2080505</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机关事业单位基本养老保险缴费支出</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977,686.79</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977,686.79</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2080801</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死亡抚恤</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160,000.00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160,000.00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2089999</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其他社会保障和就业支出</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2101101</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行政单位医疗</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3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2210201</w:t>
            </w:r>
          </w:p>
        </w:tc>
        <w:tc>
          <w:tcPr>
            <w:tcW w:w="1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住房公积金</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5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5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注：本表反映部门本年度各项支出情况。</w:t>
      </w:r>
    </w:p>
    <w:p>
      <w:pPr>
        <w:rPr>
          <w:rFonts w:hint="eastAsia" w:ascii="Times New Roman" w:hAnsi="Times New Roman"/>
          <w:sz w:val="24"/>
          <w:szCs w:val="21"/>
        </w:rPr>
      </w:pPr>
      <w:r>
        <w:rPr>
          <w:rFonts w:hint="eastAsia" w:ascii="Times New Roman" w:hAnsi="Times New Roman"/>
          <w:sz w:val="24"/>
          <w:szCs w:val="21"/>
        </w:rPr>
        <w:br w:type="page"/>
      </w:r>
    </w:p>
    <w:p>
      <w:pPr>
        <w:pStyle w:val="9"/>
        <w:bidi w:val="0"/>
        <w:rPr>
          <w:rFonts w:hint="eastAsia"/>
        </w:rPr>
      </w:pPr>
      <w:r>
        <w:rPr>
          <w:rFonts w:hint="eastAsia"/>
        </w:rPr>
        <w:t>财政拨款收入支出决算总表</w:t>
      </w:r>
    </w:p>
    <w:p>
      <w:pPr>
        <w:pStyle w:val="9"/>
        <w:bidi w:val="0"/>
        <w:rPr>
          <w:rFonts w:hint="eastAsia"/>
        </w:rPr>
      </w:pPr>
    </w:p>
    <w:tbl>
      <w:tblPr>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6"/>
        <w:gridCol w:w="555"/>
        <w:gridCol w:w="1635"/>
        <w:gridCol w:w="2070"/>
        <w:gridCol w:w="615"/>
        <w:gridCol w:w="1635"/>
        <w:gridCol w:w="1635"/>
        <w:gridCol w:w="171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75"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收  入</w:t>
            </w:r>
          </w:p>
        </w:tc>
        <w:tc>
          <w:tcPr>
            <w:tcW w:w="3424"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78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0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行次</w:t>
            </w:r>
          </w:p>
        </w:tc>
        <w:tc>
          <w:tcPr>
            <w:tcW w:w="5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金额</w:t>
            </w:r>
          </w:p>
        </w:tc>
        <w:tc>
          <w:tcPr>
            <w:tcW w:w="75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2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行次</w:t>
            </w:r>
          </w:p>
        </w:tc>
        <w:tc>
          <w:tcPr>
            <w:tcW w:w="592" w:type="pct"/>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合计</w:t>
            </w:r>
          </w:p>
        </w:tc>
        <w:tc>
          <w:tcPr>
            <w:tcW w:w="5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一般公共预算财政拨款</w:t>
            </w:r>
          </w:p>
        </w:tc>
        <w:tc>
          <w:tcPr>
            <w:tcW w:w="61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政府性基金预算财政拨款</w:t>
            </w:r>
          </w:p>
        </w:tc>
        <w:tc>
          <w:tcPr>
            <w:tcW w:w="64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78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20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75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92"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5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61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64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1</w:t>
            </w: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3</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4</w:t>
            </w: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一、一般公共预算财政拨款</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29,575,500.00</w:t>
            </w: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一、一般公共服务支出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24,425,701.71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24,425,701.71</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二、政府性基金预算财政拨款</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二、外交支出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三、国有资本经营预算财政拨款</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三、国防支出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35</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四、公共安全支出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五、教育支出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37</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六、科学技术支出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38</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7</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七、文化旅游体育与传媒支出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8</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八、社会保障和就业支出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2,895,486.79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2,895,486.79</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九、卫生健康支出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十、节能环保支出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十一、城乡社区支出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十二、农林水支出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十三、交通运输支出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45</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十四、资源勘探工业信息等支出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15</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十五、商业服务业等支出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47</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十六、金融支出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48</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17</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十七、援助其他地区支出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18</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十八、自然资源海洋气象等支出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十九、住房保障支出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二十、粮油物资储备支出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二十一、国有资本经营预算支出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二十二、灾害防治及应急管理支出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二十三、其他支出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55</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二十四、债务还本支出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25</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二十五、债务付息支出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57</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二十六、抗疫特别国债安排的支出</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58</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b/>
                <w:bCs/>
                <w:sz w:val="24"/>
                <w:szCs w:val="24"/>
                <w:lang w:val="en-US" w:eastAsia="zh-CN"/>
              </w:rPr>
              <w:t>本年收入合计</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27</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29,575,500.00</w:t>
            </w: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b/>
                <w:bCs/>
                <w:sz w:val="24"/>
                <w:szCs w:val="24"/>
                <w:lang w:val="en-US" w:eastAsia="zh-CN"/>
              </w:rPr>
              <w:t>本年支出合计</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29,742,411.00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29,742,411.00</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年初财政拨款结转和结余</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28</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4,606,032.36</w:t>
            </w: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年末财政拨款结转和结余</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4,439,121.36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4,439,121.36</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320" w:leftChars="100"/>
              <w:textAlignment w:val="auto"/>
              <w:rPr>
                <w:rFonts w:hint="eastAsia"/>
                <w:sz w:val="24"/>
                <w:szCs w:val="24"/>
              </w:rPr>
            </w:pPr>
            <w:r>
              <w:rPr>
                <w:rFonts w:hint="eastAsia"/>
                <w:sz w:val="24"/>
                <w:szCs w:val="24"/>
                <w:lang w:val="en-US" w:eastAsia="zh-CN"/>
              </w:rPr>
              <w:t>一般公共预算财政拨款</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29</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4,606,032.36</w:t>
            </w: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320" w:leftChars="100"/>
              <w:textAlignment w:val="auto"/>
              <w:rPr>
                <w:rFonts w:hint="eastAsia"/>
                <w:sz w:val="24"/>
                <w:szCs w:val="24"/>
              </w:rPr>
            </w:pPr>
            <w:r>
              <w:rPr>
                <w:rFonts w:hint="eastAsia"/>
                <w:sz w:val="24"/>
                <w:szCs w:val="24"/>
                <w:lang w:val="en-US" w:eastAsia="zh-CN"/>
              </w:rPr>
              <w:t>政府性基金预算财政拨款</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30</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320" w:leftChars="100"/>
              <w:textAlignment w:val="auto"/>
              <w:rPr>
                <w:rFonts w:hint="eastAsia"/>
                <w:sz w:val="24"/>
                <w:szCs w:val="24"/>
              </w:rPr>
            </w:pPr>
            <w:r>
              <w:rPr>
                <w:rFonts w:hint="eastAsia"/>
                <w:sz w:val="24"/>
                <w:szCs w:val="24"/>
                <w:lang w:val="en-US" w:eastAsia="zh-CN"/>
              </w:rPr>
              <w:t>国有资本经营预算财政拨款</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31</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63</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7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b/>
                <w:bCs/>
                <w:sz w:val="24"/>
                <w:szCs w:val="24"/>
                <w:lang w:val="en-US" w:eastAsia="zh-CN"/>
              </w:rPr>
              <w:t>总计</w:t>
            </w:r>
          </w:p>
        </w:tc>
        <w:tc>
          <w:tcPr>
            <w:tcW w:w="2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32</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34,181,532.36</w:t>
            </w:r>
          </w:p>
        </w:tc>
        <w:tc>
          <w:tcPr>
            <w:tcW w:w="75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b/>
                <w:bCs/>
                <w:sz w:val="24"/>
                <w:szCs w:val="24"/>
                <w:lang w:val="en-US" w:eastAsia="zh-CN"/>
              </w:rPr>
              <w:t>总计</w:t>
            </w:r>
          </w:p>
        </w:tc>
        <w:tc>
          <w:tcPr>
            <w:tcW w:w="22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64</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34,181,532.36</w:t>
            </w:r>
          </w:p>
        </w:tc>
        <w:tc>
          <w:tcPr>
            <w:tcW w:w="5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34,181,532.36</w:t>
            </w:r>
          </w:p>
        </w:tc>
        <w:tc>
          <w:tcPr>
            <w:tcW w:w="6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6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注：本表反映部门本年度一般公共预算财政拨款、政府性基金预算财政拨款和国有资本经营预算财政拨款的总收支和年末结转结余情况。</w:t>
      </w:r>
    </w:p>
    <w:p>
      <w:pPr>
        <w:rPr>
          <w:rFonts w:hint="eastAsia" w:ascii="Times New Roman" w:hAnsi="Times New Roman"/>
          <w:sz w:val="24"/>
          <w:szCs w:val="21"/>
        </w:rPr>
      </w:pPr>
      <w:r>
        <w:rPr>
          <w:rFonts w:hint="eastAsia" w:ascii="Times New Roman" w:hAnsi="Times New Roman"/>
          <w:sz w:val="24"/>
          <w:szCs w:val="21"/>
        </w:rPr>
        <w:br w:type="page"/>
      </w:r>
    </w:p>
    <w:p>
      <w:pPr>
        <w:pStyle w:val="9"/>
        <w:bidi w:val="0"/>
        <w:rPr>
          <w:rFonts w:hint="eastAsia"/>
        </w:rPr>
      </w:pPr>
      <w:r>
        <w:rPr>
          <w:rFonts w:hint="eastAsia"/>
        </w:rPr>
        <w:t>一般公共预算财政拨款支出决算表</w:t>
      </w:r>
    </w:p>
    <w:p>
      <w:pPr>
        <w:pStyle w:val="9"/>
        <w:bidi w:val="0"/>
        <w:rPr>
          <w:rFonts w:hint="eastAsia"/>
        </w:rPr>
      </w:pPr>
    </w:p>
    <w:tbl>
      <w:tblP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8"/>
        <w:gridCol w:w="5391"/>
        <w:gridCol w:w="2076"/>
        <w:gridCol w:w="207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401"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2078" w:type="pct"/>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80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小计</w:t>
            </w:r>
          </w:p>
        </w:tc>
        <w:tc>
          <w:tcPr>
            <w:tcW w:w="80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基本支出</w:t>
            </w:r>
          </w:p>
        </w:tc>
        <w:tc>
          <w:tcPr>
            <w:tcW w:w="80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78"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8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8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8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2078"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8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8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c>
          <w:tcPr>
            <w:tcW w:w="80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598"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1</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2</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598"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合计</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29,742,411.00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14,627,976.28</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15,114,434.72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2012901</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行政运行</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9,858,266.99</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9,611,266.99</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2012902</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一般行政管理事务</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2050803</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培训支出</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212,622.50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12,622.50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2070605</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出版发行</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2080501</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行政单位离退休</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2080505</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机关事业单位基本养老保险缴费支出</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977,686.79</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977,686.79</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2080801</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死亡抚恤</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160,000.00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160,000.00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2089999</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其他社会保障和就业支出</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2101101</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行政单位医疗</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2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2210201</w:t>
            </w:r>
          </w:p>
        </w:tc>
        <w:tc>
          <w:tcPr>
            <w:tcW w:w="207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4"/>
              </w:rPr>
            </w:pPr>
            <w:r>
              <w:rPr>
                <w:rFonts w:hint="eastAsia"/>
                <w:sz w:val="24"/>
                <w:szCs w:val="24"/>
                <w:lang w:val="en-US" w:eastAsia="zh-CN"/>
              </w:rPr>
              <w:t>住房公积金</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995,800.00</w:t>
            </w:r>
          </w:p>
        </w:tc>
        <w:tc>
          <w:tcPr>
            <w:tcW w:w="80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注：本表反映部门本年度一般公共预算财政拨款支出情况。</w:t>
      </w:r>
    </w:p>
    <w:p>
      <w:pPr>
        <w:rPr>
          <w:rFonts w:hint="eastAsia" w:ascii="Times New Roman" w:hAnsi="Times New Roman"/>
          <w:sz w:val="24"/>
          <w:szCs w:val="21"/>
        </w:rPr>
      </w:pPr>
      <w:r>
        <w:rPr>
          <w:rFonts w:hint="eastAsia" w:ascii="Times New Roman" w:hAnsi="Times New Roman"/>
          <w:sz w:val="24"/>
          <w:szCs w:val="21"/>
        </w:rPr>
        <w:br w:type="page"/>
      </w:r>
    </w:p>
    <w:p>
      <w:pPr>
        <w:pStyle w:val="9"/>
        <w:bidi w:val="0"/>
        <w:rPr>
          <w:rFonts w:hint="eastAsia"/>
        </w:rPr>
      </w:pPr>
      <w:r>
        <w:rPr>
          <w:rFonts w:hint="eastAsia"/>
        </w:rPr>
        <w:t>一般公共预算财政拨款基本支出决算明细表</w:t>
      </w:r>
    </w:p>
    <w:p>
      <w:pPr>
        <w:pStyle w:val="9"/>
        <w:bidi w:val="0"/>
        <w:rPr>
          <w:rFonts w:hint="eastAsia"/>
        </w:rPr>
      </w:pPr>
    </w:p>
    <w:tbl>
      <w:tblPr>
        <w:tblW w:w="5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2551"/>
        <w:gridCol w:w="1675"/>
        <w:gridCol w:w="850"/>
        <w:gridCol w:w="2551"/>
        <w:gridCol w:w="1531"/>
        <w:gridCol w:w="850"/>
        <w:gridCol w:w="255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blHeader/>
          <w:jc w:val="center"/>
        </w:trPr>
        <w:tc>
          <w:tcPr>
            <w:tcW w:w="1698"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人员经费</w:t>
            </w:r>
          </w:p>
        </w:tc>
        <w:tc>
          <w:tcPr>
            <w:tcW w:w="3301"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28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8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56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决算数</w:t>
            </w:r>
          </w:p>
        </w:tc>
        <w:tc>
          <w:tcPr>
            <w:tcW w:w="28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8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51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决算数</w:t>
            </w:r>
          </w:p>
        </w:tc>
        <w:tc>
          <w:tcPr>
            <w:tcW w:w="28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8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51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blHeader/>
          <w:jc w:val="center"/>
        </w:trPr>
        <w:tc>
          <w:tcPr>
            <w:tcW w:w="2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8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56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2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8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51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2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8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51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r>
              <w:rPr>
                <w:rFonts w:hint="eastAsia"/>
                <w:sz w:val="24"/>
                <w:szCs w:val="24"/>
                <w:lang w:val="en-US" w:eastAsia="zh-CN"/>
              </w:rPr>
              <w:t>工资福利支出</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9,440,386.79</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r>
              <w:rPr>
                <w:rFonts w:hint="eastAsia"/>
                <w:sz w:val="24"/>
                <w:szCs w:val="24"/>
                <w:lang w:val="en-US" w:eastAsia="zh-CN"/>
              </w:rPr>
              <w:t>商品和服务支出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2,675,489.49</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r>
              <w:rPr>
                <w:rFonts w:hint="eastAsia"/>
                <w:sz w:val="24"/>
                <w:szCs w:val="24"/>
                <w:lang w:val="en-US" w:eastAsia="zh-CN"/>
              </w:rPr>
              <w:t>债务利息及费用支出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基本工资</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5,058,613.16</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办公费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213,917.12</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30701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国内债务付息</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津贴补贴</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400,610.84</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印刷费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44,702.16</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30702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国外债务付息</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奖金</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839,876.00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咨询费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r>
              <w:rPr>
                <w:rFonts w:hint="eastAsia"/>
                <w:sz w:val="24"/>
                <w:szCs w:val="24"/>
                <w:lang w:val="en-US" w:eastAsia="zh-CN"/>
              </w:rPr>
              <w:t>资本性支出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30106</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伙食补助费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30204</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手续费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房屋建筑物购建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绩效工资</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30205</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水费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3,686.30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办公设备购置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机关事业单位基本养老保险缴费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883,311.45</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30206</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电费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专用设备购置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30109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职业年金缴费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34,740.72</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邮电费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6,354.89</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31005</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基础设施建设</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30110</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职工基本医疗保险缴费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614,011.12</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取暖费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97,000.00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31006</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大型修缮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30111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pacing w:val="-6"/>
                <w:sz w:val="24"/>
                <w:szCs w:val="24"/>
                <w:lang w:val="en-US" w:eastAsia="zh-CN"/>
              </w:rPr>
              <w:t>公务员医疗补助缴费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496,600.00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30209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物业管理费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信息网络及软件购置更新</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30112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其他社会保障缴费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116,823.50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差旅费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127,102.34</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物资储备</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30113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住房公积金</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995,800.00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因公出国（境）费用</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31009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土地补偿</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30114</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医疗费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维修（护）费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30,000.00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31010</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安置补助</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30199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其他工资福利支出</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30214</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租赁费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31011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地上附着物和青苗补偿</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r>
              <w:rPr>
                <w:rFonts w:hint="eastAsia"/>
                <w:sz w:val="24"/>
                <w:szCs w:val="24"/>
                <w:lang w:val="en-US" w:eastAsia="zh-CN"/>
              </w:rPr>
              <w:t>对个人和家庭的补助</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2,512,100.00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30215</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会议费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80,000.00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31012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拆迁补偿</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离休费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30216</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培训费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12,622.50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31013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公务用车购置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退休费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1,678,800.00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公务接待费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45,602.00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31019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其他交通工具购置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30303</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退职（役）费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30218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专用材料费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31021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文物和陈列品购置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30304</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抚恤金</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160,000.00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30224</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被装购置费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31022</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无形资产购置</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30305</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生活补助</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24,000.00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30225</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专用燃料费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31099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其他资本性支出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30306</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救济费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30226</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劳务费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506,800.48</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r>
              <w:rPr>
                <w:rFonts w:hint="eastAsia"/>
                <w:sz w:val="24"/>
                <w:szCs w:val="24"/>
                <w:lang w:val="en-US" w:eastAsia="zh-CN"/>
              </w:rPr>
              <w:t>其他支出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医疗费补助</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30227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委托业务费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43,199.52</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39907</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国家赔偿费用支出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助学金</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30228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工会经费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250,000.00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39908</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对民间非营利组织和群众性自治组织补贴</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30309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奖励金</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30229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福利费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14,165.90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39909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经常性赠与</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30310</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个人农业生产补贴</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30231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pacing w:val="-6"/>
                <w:sz w:val="24"/>
                <w:szCs w:val="24"/>
                <w:lang w:val="en-US" w:eastAsia="zh-CN"/>
              </w:rPr>
              <w:t>公务用车运行维护费</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248,874.28</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39910</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资本性赠与</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30311</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代缴社会保险费</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30239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其他交通费用</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487,162.00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39999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30399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其他对个人和家庭的补助</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649,300.00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30240</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z w:val="24"/>
                <w:szCs w:val="24"/>
                <w:lang w:val="en-US" w:eastAsia="zh-CN"/>
              </w:rPr>
              <w:t>税金及附加费用</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30299</w:t>
            </w: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240" w:leftChars="75"/>
              <w:textAlignment w:val="auto"/>
              <w:rPr>
                <w:rFonts w:hint="eastAsia"/>
                <w:sz w:val="24"/>
                <w:szCs w:val="24"/>
              </w:rPr>
            </w:pPr>
            <w:r>
              <w:rPr>
                <w:rFonts w:hint="eastAsia"/>
                <w:spacing w:val="-6"/>
                <w:sz w:val="24"/>
                <w:szCs w:val="24"/>
                <w:lang w:val="en-US" w:eastAsia="zh-CN"/>
              </w:rPr>
              <w:t>其他商品和服务支出</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413,300.00</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p>
        </w:tc>
        <w:tc>
          <w:tcPr>
            <w:tcW w:w="8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24"/>
              </w:rPr>
            </w:pP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After w:w="0" w:type="auto"/>
          <w:trHeight w:val="397" w:hRule="atLeast"/>
          <w:jc w:val="center"/>
        </w:trPr>
        <w:tc>
          <w:tcPr>
            <w:tcW w:w="1138"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人员经费合计</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11,952,486.79</w:t>
            </w:r>
          </w:p>
        </w:tc>
        <w:tc>
          <w:tcPr>
            <w:tcW w:w="2788" w:type="pct"/>
            <w:gridSpan w:val="5"/>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公用经费合计</w:t>
            </w:r>
          </w:p>
        </w:tc>
        <w:tc>
          <w:tcPr>
            <w:tcW w:w="51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2,675,489.49</w:t>
            </w: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注：本表反映部门本年度一般公共预算财政拨款基本支出明细情况。</w:t>
      </w:r>
    </w:p>
    <w:p>
      <w:pPr>
        <w:rPr>
          <w:rFonts w:hint="eastAsia" w:ascii="Times New Roman" w:hAnsi="Times New Roman"/>
          <w:sz w:val="24"/>
          <w:szCs w:val="21"/>
        </w:rPr>
      </w:pPr>
      <w:r>
        <w:rPr>
          <w:rFonts w:hint="eastAsia" w:ascii="Times New Roman" w:hAnsi="Times New Roman"/>
          <w:sz w:val="24"/>
          <w:szCs w:val="21"/>
        </w:rPr>
        <w:br w:type="page"/>
      </w:r>
    </w:p>
    <w:p>
      <w:pPr>
        <w:pStyle w:val="9"/>
        <w:bidi w:val="0"/>
        <w:rPr>
          <w:rFonts w:hint="eastAsia"/>
        </w:rPr>
      </w:pPr>
      <w:r>
        <w:rPr>
          <w:rFonts w:hint="eastAsia"/>
        </w:rPr>
        <w:t>政府性基金预算财政拨款收入支出决算表</w:t>
      </w:r>
    </w:p>
    <w:p>
      <w:pPr>
        <w:pStyle w:val="9"/>
        <w:bidi w:val="0"/>
        <w:rPr>
          <w:rFonts w:hint="eastAsia"/>
        </w:rPr>
      </w:pPr>
    </w:p>
    <w:tbl>
      <w:tblPr>
        <w:tblStyle w:val="5"/>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397"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    目</w:t>
            </w:r>
          </w:p>
        </w:tc>
        <w:tc>
          <w:tcPr>
            <w:tcW w:w="19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年初结转和结余</w:t>
            </w:r>
          </w:p>
        </w:tc>
        <w:tc>
          <w:tcPr>
            <w:tcW w:w="1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本年支出</w:t>
            </w:r>
          </w:p>
        </w:tc>
        <w:tc>
          <w:tcPr>
            <w:tcW w:w="19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年末结转和结余</w:t>
            </w:r>
          </w:p>
        </w:tc>
      </w:tr>
      <w:tr>
        <w:tblPrEx>
          <w:tblCellMar>
            <w:top w:w="0" w:type="dxa"/>
            <w:left w:w="108" w:type="dxa"/>
            <w:bottom w:w="0" w:type="dxa"/>
            <w:right w:w="108" w:type="dxa"/>
          </w:tblCellMar>
        </w:tblPrEx>
        <w:trPr>
          <w:trHeight w:val="397" w:hRule="exac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科目代码</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科目名称</w:t>
            </w:r>
          </w:p>
        </w:tc>
        <w:tc>
          <w:tcPr>
            <w:tcW w:w="19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19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小计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基本支出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项目支出</w:t>
            </w:r>
          </w:p>
        </w:tc>
        <w:tc>
          <w:tcPr>
            <w:tcW w:w="19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CellMar>
            <w:top w:w="0" w:type="dxa"/>
            <w:left w:w="108" w:type="dxa"/>
            <w:bottom w:w="0" w:type="dxa"/>
            <w:right w:w="108" w:type="dxa"/>
          </w:tblCellMar>
        </w:tblPrEx>
        <w:trPr>
          <w:trHeight w:val="397"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bCs/>
                <w:sz w:val="24"/>
                <w:szCs w:val="24"/>
              </w:rPr>
            </w:pPr>
            <w:r>
              <w:rPr>
                <w:b/>
                <w:bCs/>
                <w:sz w:val="24"/>
                <w:szCs w:val="24"/>
              </w:rPr>
              <w:t>6</w:t>
            </w:r>
          </w:p>
        </w:tc>
      </w:tr>
      <w:tr>
        <w:trPr>
          <w:trHeight w:val="397"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r>
        <w:tblPrEx>
          <w:tblCellMar>
            <w:top w:w="0" w:type="dxa"/>
            <w:left w:w="108" w:type="dxa"/>
            <w:bottom w:w="0" w:type="dxa"/>
            <w:right w:w="108" w:type="dxa"/>
          </w:tblCellMar>
        </w:tblPrEx>
        <w:trPr>
          <w:trHeight w:val="397"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r>
        <w:tblPrEx>
          <w:tblCellMar>
            <w:top w:w="0" w:type="dxa"/>
            <w:left w:w="108" w:type="dxa"/>
            <w:bottom w:w="0" w:type="dxa"/>
            <w:right w:w="108" w:type="dxa"/>
          </w:tblCellMar>
        </w:tblPrEx>
        <w:trPr>
          <w:trHeight w:val="397"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r>
        <w:tblPrEx>
          <w:tblCellMar>
            <w:top w:w="0" w:type="dxa"/>
            <w:left w:w="108" w:type="dxa"/>
            <w:bottom w:w="0" w:type="dxa"/>
            <w:right w:w="108" w:type="dxa"/>
          </w:tblCellMar>
        </w:tblPrEx>
        <w:trPr>
          <w:trHeight w:val="397"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r>
        <w:trPr>
          <w:trHeight w:val="397"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r>
        <w:tblPrEx>
          <w:tblCellMar>
            <w:top w:w="0" w:type="dxa"/>
            <w:left w:w="108" w:type="dxa"/>
            <w:bottom w:w="0" w:type="dxa"/>
            <w:right w:w="108" w:type="dxa"/>
          </w:tblCellMar>
        </w:tblPrEx>
        <w:trPr>
          <w:trHeight w:val="397"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r>
        <w:tblPrEx>
          <w:tblCellMar>
            <w:top w:w="0" w:type="dxa"/>
            <w:left w:w="108" w:type="dxa"/>
            <w:bottom w:w="0" w:type="dxa"/>
            <w:right w:w="108" w:type="dxa"/>
          </w:tblCellMar>
        </w:tblPrEx>
        <w:trPr>
          <w:trHeight w:val="397"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注：本表反映部门本年度政府性基金预算财政拨款收入、支出及结转和结余情况。</w:t>
      </w:r>
    </w:p>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p>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b/>
          <w:bCs/>
          <w:sz w:val="24"/>
          <w:szCs w:val="21"/>
        </w:rPr>
      </w:pPr>
      <w:r>
        <w:rPr>
          <w:rFonts w:hint="eastAsia" w:ascii="Times New Roman" w:hAnsi="Times New Roman"/>
          <w:b/>
          <w:bCs/>
          <w:sz w:val="24"/>
          <w:szCs w:val="21"/>
        </w:rPr>
        <w:t>说明：我单位没有政府性基金收入，也没有使用政府性基金安排的支出，故本表无数据。（当表格数据为空时，应有此说明）</w:t>
      </w:r>
    </w:p>
    <w:p>
      <w:pPr>
        <w:rPr>
          <w:rFonts w:hint="eastAsia" w:ascii="Times New Roman" w:hAnsi="Times New Roman"/>
          <w:b/>
          <w:bCs/>
          <w:sz w:val="24"/>
          <w:szCs w:val="21"/>
        </w:rPr>
      </w:pPr>
      <w:r>
        <w:rPr>
          <w:rFonts w:hint="eastAsia" w:ascii="Times New Roman" w:hAnsi="Times New Roman"/>
          <w:b/>
          <w:bCs/>
          <w:sz w:val="24"/>
          <w:szCs w:val="21"/>
        </w:rPr>
        <w:br w:type="page"/>
      </w:r>
    </w:p>
    <w:p>
      <w:pPr>
        <w:pStyle w:val="9"/>
        <w:bidi w:val="0"/>
        <w:rPr>
          <w:rFonts w:hint="eastAsia"/>
        </w:rPr>
      </w:pPr>
      <w:r>
        <w:rPr>
          <w:rFonts w:hint="eastAsia"/>
        </w:rPr>
        <w:t>国有资本经营预算财政拨款支出决算表</w:t>
      </w:r>
    </w:p>
    <w:p>
      <w:pPr>
        <w:pStyle w:val="9"/>
        <w:bidi w:val="0"/>
        <w:rPr>
          <w:rFonts w:hint="eastAsia"/>
        </w:rPr>
      </w:pPr>
    </w:p>
    <w:tbl>
      <w:tblP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81"/>
        <w:gridCol w:w="5123"/>
        <w:gridCol w:w="2187"/>
        <w:gridCol w:w="21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53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49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19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84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合计</w:t>
            </w:r>
          </w:p>
        </w:tc>
        <w:tc>
          <w:tcPr>
            <w:tcW w:w="84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基本支出</w:t>
            </w:r>
          </w:p>
        </w:tc>
        <w:tc>
          <w:tcPr>
            <w:tcW w:w="84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栏次</w:t>
            </w: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1</w:t>
            </w: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2</w:t>
            </w: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合计</w:t>
            </w: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lang w:val="en-US" w:eastAsia="zh-CN"/>
              </w:rPr>
            </w:pP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lang w:val="en-US" w:eastAsia="zh-CN"/>
              </w:rPr>
            </w:pP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lang w:val="en-US" w:eastAsia="zh-CN"/>
              </w:rPr>
            </w:pP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lang w:val="en-US" w:eastAsia="zh-CN"/>
              </w:rPr>
            </w:pP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lang w:val="en-US" w:eastAsia="zh-CN"/>
              </w:rPr>
            </w:pP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469"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84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lang w:val="en-US" w:eastAsia="zh-CN"/>
              </w:rPr>
            </w:pPr>
          </w:p>
        </w:tc>
        <w:tc>
          <w:tcPr>
            <w:tcW w:w="8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注：本表反映部门本年度国有资本经营预算财政拨款支出情况。</w:t>
      </w:r>
    </w:p>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p>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b/>
          <w:bCs/>
          <w:sz w:val="24"/>
          <w:szCs w:val="21"/>
        </w:rPr>
      </w:pPr>
      <w:r>
        <w:rPr>
          <w:rFonts w:hint="eastAsia" w:ascii="Times New Roman" w:hAnsi="Times New Roman"/>
          <w:b/>
          <w:bCs/>
          <w:sz w:val="24"/>
          <w:szCs w:val="21"/>
        </w:rPr>
        <w:t>说明：我单位没有使用国有资本经营预算安排的支出，故本表无数据。（当表格数据为空时，应有此说明）</w:t>
      </w:r>
    </w:p>
    <w:p>
      <w:pPr>
        <w:rPr>
          <w:rFonts w:hint="eastAsia" w:ascii="Times New Roman" w:hAnsi="Times New Roman"/>
          <w:b/>
          <w:bCs/>
          <w:sz w:val="24"/>
          <w:szCs w:val="21"/>
        </w:rPr>
      </w:pPr>
      <w:r>
        <w:rPr>
          <w:rFonts w:hint="eastAsia" w:ascii="Times New Roman" w:hAnsi="Times New Roman"/>
          <w:b/>
          <w:bCs/>
          <w:sz w:val="24"/>
          <w:szCs w:val="21"/>
        </w:rPr>
        <w:br w:type="page"/>
      </w:r>
    </w:p>
    <w:p>
      <w:pPr>
        <w:pStyle w:val="9"/>
        <w:bidi w:val="0"/>
        <w:rPr>
          <w:rFonts w:hint="eastAsia"/>
        </w:rPr>
      </w:pPr>
      <w:r>
        <w:rPr>
          <w:rFonts w:hint="eastAsia"/>
        </w:rPr>
        <w:t>财政拨款“三公”经费支出决算表</w:t>
      </w:r>
    </w:p>
    <w:p>
      <w:pPr>
        <w:pStyle w:val="2"/>
        <w:rPr>
          <w:rFonts w:hint="eastAsia"/>
        </w:rPr>
      </w:pPr>
    </w:p>
    <w:tbl>
      <w:tblPr>
        <w:tblW w:w="55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28" w:type="dxa"/>
          <w:bottom w:w="0" w:type="dxa"/>
          <w:right w:w="28" w:type="dxa"/>
        </w:tblCellMar>
      </w:tblPr>
      <w:tblGrid>
        <w:gridCol w:w="1270"/>
        <w:gridCol w:w="1270"/>
        <w:gridCol w:w="1273"/>
        <w:gridCol w:w="1029"/>
        <w:gridCol w:w="1299"/>
        <w:gridCol w:w="1134"/>
        <w:gridCol w:w="1277"/>
        <w:gridCol w:w="1026"/>
        <w:gridCol w:w="1163"/>
        <w:gridCol w:w="1029"/>
        <w:gridCol w:w="131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After w:w="0" w:type="auto"/>
          <w:trHeight w:val="397" w:hRule="atLeast"/>
          <w:jc w:val="center"/>
        </w:trPr>
        <w:tc>
          <w:tcPr>
            <w:tcW w:w="2553"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预算数</w:t>
            </w:r>
          </w:p>
        </w:tc>
        <w:tc>
          <w:tcPr>
            <w:tcW w:w="2446"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wAfter w:w="0" w:type="auto"/>
          <w:trHeight w:val="397" w:hRule="atLeast"/>
          <w:jc w:val="center"/>
        </w:trPr>
        <w:tc>
          <w:tcPr>
            <w:tcW w:w="44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合计</w:t>
            </w:r>
          </w:p>
        </w:tc>
        <w:tc>
          <w:tcPr>
            <w:tcW w:w="44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因公出国（境）费</w:t>
            </w:r>
          </w:p>
        </w:tc>
        <w:tc>
          <w:tcPr>
            <w:tcW w:w="1264"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公务用车购置及运行维护费</w:t>
            </w:r>
          </w:p>
        </w:tc>
        <w:tc>
          <w:tcPr>
            <w:tcW w:w="39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公务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接待费</w:t>
            </w:r>
          </w:p>
        </w:tc>
        <w:tc>
          <w:tcPr>
            <w:tcW w:w="44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合计</w:t>
            </w:r>
          </w:p>
        </w:tc>
        <w:tc>
          <w:tcPr>
            <w:tcW w:w="36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因公出国（境）费</w:t>
            </w:r>
          </w:p>
        </w:tc>
        <w:tc>
          <w:tcPr>
            <w:tcW w:w="123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公务用车购置及运行维护费</w:t>
            </w:r>
          </w:p>
        </w:tc>
        <w:tc>
          <w:tcPr>
            <w:tcW w:w="40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公务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44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44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44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小计</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公务用车购置费</w:t>
            </w:r>
          </w:p>
        </w:tc>
        <w:tc>
          <w:tcPr>
            <w:tcW w:w="45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公务用车运行维护费</w:t>
            </w:r>
          </w:p>
        </w:tc>
        <w:tc>
          <w:tcPr>
            <w:tcW w:w="39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448" w:type="pct"/>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360" w:type="pct"/>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4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小计</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公务用车购置费</w:t>
            </w:r>
          </w:p>
        </w:tc>
        <w:tc>
          <w:tcPr>
            <w:tcW w:w="4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公务用车运行维护费</w:t>
            </w:r>
          </w:p>
        </w:tc>
        <w:tc>
          <w:tcPr>
            <w:tcW w:w="408" w:type="pct"/>
            <w:vMerge w:val="continue"/>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jc w:val="center"/>
        </w:trPr>
        <w:tc>
          <w:tcPr>
            <w:tcW w:w="44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w:t>
            </w:r>
          </w:p>
        </w:tc>
        <w:tc>
          <w:tcPr>
            <w:tcW w:w="44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w:t>
            </w:r>
          </w:p>
        </w:tc>
        <w:tc>
          <w:tcPr>
            <w:tcW w:w="44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3</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4</w:t>
            </w:r>
          </w:p>
        </w:tc>
        <w:tc>
          <w:tcPr>
            <w:tcW w:w="45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5</w:t>
            </w:r>
          </w:p>
        </w:tc>
        <w:tc>
          <w:tcPr>
            <w:tcW w:w="39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6</w:t>
            </w:r>
          </w:p>
        </w:tc>
        <w:tc>
          <w:tcPr>
            <w:tcW w:w="44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7</w:t>
            </w:r>
          </w:p>
        </w:tc>
        <w:tc>
          <w:tcPr>
            <w:tcW w:w="3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8</w:t>
            </w:r>
          </w:p>
        </w:tc>
        <w:tc>
          <w:tcPr>
            <w:tcW w:w="4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9</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10</w:t>
            </w:r>
          </w:p>
        </w:tc>
        <w:tc>
          <w:tcPr>
            <w:tcW w:w="4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11</w:t>
            </w:r>
          </w:p>
        </w:tc>
        <w:tc>
          <w:tcPr>
            <w:tcW w:w="4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4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605,000.00</w:t>
            </w:r>
          </w:p>
        </w:tc>
        <w:tc>
          <w:tcPr>
            <w:tcW w:w="44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150,000.00</w:t>
            </w:r>
          </w:p>
        </w:tc>
        <w:tc>
          <w:tcPr>
            <w:tcW w:w="44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385,000.00</w:t>
            </w:r>
          </w:p>
        </w:tc>
        <w:tc>
          <w:tcPr>
            <w:tcW w:w="3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5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385,000.00</w:t>
            </w:r>
          </w:p>
        </w:tc>
        <w:tc>
          <w:tcPr>
            <w:tcW w:w="39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70,000.00</w:t>
            </w:r>
          </w:p>
        </w:tc>
        <w:tc>
          <w:tcPr>
            <w:tcW w:w="44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294,476.28</w:t>
            </w:r>
          </w:p>
        </w:tc>
        <w:tc>
          <w:tcPr>
            <w:tcW w:w="3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0.00</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248,874.28</w:t>
            </w:r>
          </w:p>
        </w:tc>
        <w:tc>
          <w:tcPr>
            <w:tcW w:w="3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4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248,874.28</w:t>
            </w:r>
          </w:p>
        </w:tc>
        <w:tc>
          <w:tcPr>
            <w:tcW w:w="4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45,602.00</w:t>
            </w:r>
          </w:p>
        </w:tc>
      </w:tr>
    </w:tbl>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sz w:val="24"/>
          <w:szCs w:val="21"/>
        </w:rPr>
      </w:pPr>
      <w:r>
        <w:rPr>
          <w:rFonts w:hint="eastAsia" w:ascii="Times New Roman" w:hAnsi="Times New Roman"/>
          <w:sz w:val="24"/>
          <w:szCs w:val="21"/>
        </w:rPr>
        <w:t>注：本表反映部门本年度财政拨款“三公”经费支出预决算情况。其中，预算数为“三公”经费全年预算数，反映按规定程序调整后的预算数；决算数是包括当年财政拨款和以前年度结转资金安排的实际支出。</w:t>
      </w:r>
    </w:p>
    <w:p>
      <w:pPr>
        <w:rPr>
          <w:rFonts w:hint="eastAsia" w:ascii="Times New Roman" w:hAnsi="Times New Roman"/>
          <w:sz w:val="24"/>
          <w:szCs w:val="21"/>
        </w:rPr>
        <w:sectPr>
          <w:pgSz w:w="16838" w:h="11906" w:orient="landscape"/>
          <w:pgMar w:top="1531" w:right="2098" w:bottom="1531" w:left="1984" w:header="851" w:footer="1134" w:gutter="0"/>
          <w:pgNumType w:fmt="decimal"/>
          <w:cols w:space="425" w:num="1"/>
          <w:docGrid w:type="lines" w:linePitch="312" w:charSpace="0"/>
        </w:sectPr>
      </w:pPr>
      <w:r>
        <w:rPr>
          <w:rFonts w:hint="eastAsia" w:ascii="Times New Roman" w:hAnsi="Times New Roman"/>
          <w:sz w:val="24"/>
          <w:szCs w:val="21"/>
        </w:rPr>
        <w:br w:type="page"/>
      </w:r>
    </w:p>
    <w:p>
      <w:pPr>
        <w:pStyle w:val="7"/>
        <w:bidi w:val="0"/>
        <w:rPr>
          <w:rFonts w:hint="eastAsia"/>
        </w:rPr>
      </w:pPr>
      <w:r>
        <w:rPr>
          <w:rFonts w:hint="eastAsia"/>
        </w:rPr>
        <w:t>第三部分</w:t>
      </w:r>
    </w:p>
    <w:p>
      <w:pPr>
        <w:pStyle w:val="7"/>
        <w:bidi w:val="0"/>
        <w:rPr>
          <w:rFonts w:hint="eastAsia"/>
        </w:rPr>
      </w:pPr>
      <w:r>
        <w:rPr>
          <w:rFonts w:hint="eastAsia"/>
        </w:rPr>
        <w:t>2024年度部门决算情况说明</w:t>
      </w:r>
    </w:p>
    <w:p>
      <w:pPr>
        <w:pStyle w:val="2"/>
        <w:bidi w:val="0"/>
        <w:rPr>
          <w:rFonts w:hint="eastAsia"/>
        </w:rPr>
      </w:pPr>
    </w:p>
    <w:p>
      <w:pPr>
        <w:pStyle w:val="14"/>
        <w:bidi w:val="0"/>
        <w:rPr>
          <w:rFonts w:hint="eastAsia"/>
        </w:rPr>
      </w:pPr>
      <w:r>
        <w:rPr>
          <w:rFonts w:hint="eastAsia"/>
        </w:rPr>
        <w:t>一、收入支出决算总体情况说明</w:t>
      </w:r>
    </w:p>
    <w:p>
      <w:pPr>
        <w:pStyle w:val="2"/>
        <w:bidi w:val="0"/>
        <w:rPr>
          <w:rFonts w:hint="eastAsia"/>
        </w:rPr>
      </w:pPr>
      <w:r>
        <w:rPr>
          <w:rFonts w:hint="eastAsia"/>
        </w:rPr>
        <w:t>2024年度收、支总计3418.15万元。与上年相比，减少589.14万元，降低14.7%，主要是因为2024年压减妇女事业发展专项资金698万元。</w:t>
      </w:r>
    </w:p>
    <w:p>
      <w:pPr>
        <w:pStyle w:val="14"/>
        <w:bidi w:val="0"/>
        <w:rPr>
          <w:rFonts w:hint="eastAsia"/>
        </w:rPr>
      </w:pPr>
      <w:r>
        <w:rPr>
          <w:rFonts w:hint="eastAsia"/>
        </w:rPr>
        <w:t>二、收入决算情况说明</w:t>
      </w:r>
    </w:p>
    <w:p>
      <w:pPr>
        <w:pStyle w:val="2"/>
        <w:bidi w:val="0"/>
        <w:rPr>
          <w:rFonts w:hint="eastAsia"/>
        </w:rPr>
      </w:pPr>
      <w:r>
        <w:rPr>
          <w:rFonts w:hint="eastAsia"/>
        </w:rPr>
        <w:t>2024年度收入合计2957.55万元，其中：财政拨款收入2957.55万元，占100%</w:t>
      </w:r>
    </w:p>
    <w:p>
      <w:pPr>
        <w:pStyle w:val="14"/>
        <w:bidi w:val="0"/>
        <w:rPr>
          <w:rFonts w:hint="eastAsia"/>
        </w:rPr>
      </w:pPr>
      <w:r>
        <w:rPr>
          <w:rFonts w:hint="eastAsia"/>
        </w:rPr>
        <w:t>三、支出决算情况说明</w:t>
      </w:r>
    </w:p>
    <w:p>
      <w:pPr>
        <w:pStyle w:val="2"/>
        <w:bidi w:val="0"/>
        <w:rPr>
          <w:rFonts w:hint="eastAsia"/>
        </w:rPr>
      </w:pPr>
      <w:r>
        <w:rPr>
          <w:rFonts w:hint="eastAsia"/>
        </w:rPr>
        <w:t>2024年度支出合计2974.24万元，其中：基本支出1462.8万元，占49.18%；项目支出1511.44万元，占50.82%。</w:t>
      </w:r>
    </w:p>
    <w:p>
      <w:pPr>
        <w:pStyle w:val="14"/>
        <w:bidi w:val="0"/>
        <w:rPr>
          <w:rFonts w:hint="eastAsia"/>
        </w:rPr>
      </w:pPr>
      <w:r>
        <w:rPr>
          <w:rFonts w:hint="eastAsia"/>
        </w:rPr>
        <w:t>四、财政拨款收入支出决算总体情况说明</w:t>
      </w:r>
    </w:p>
    <w:p>
      <w:pPr>
        <w:pStyle w:val="2"/>
        <w:bidi w:val="0"/>
        <w:rPr>
          <w:rFonts w:hint="eastAsia"/>
        </w:rPr>
      </w:pPr>
      <w:r>
        <w:rPr>
          <w:rFonts w:hint="eastAsia"/>
        </w:rPr>
        <w:t>2024年度财政拨款收、支总计3418.15万元，与上年相比，减少589.14万元，降低14.7%，主要是因为2024年压减妇女事业发展专项资金698万元。</w:t>
      </w:r>
    </w:p>
    <w:p>
      <w:pPr>
        <w:pStyle w:val="14"/>
        <w:bidi w:val="0"/>
        <w:rPr>
          <w:rFonts w:hint="eastAsia"/>
        </w:rPr>
      </w:pPr>
      <w:r>
        <w:rPr>
          <w:rFonts w:hint="eastAsia"/>
        </w:rPr>
        <w:t>五、一般公共预算财政拨款支出决算情况说明</w:t>
      </w:r>
    </w:p>
    <w:p>
      <w:pPr>
        <w:pStyle w:val="10"/>
        <w:bidi w:val="0"/>
        <w:rPr>
          <w:rFonts w:hint="eastAsia"/>
        </w:rPr>
      </w:pPr>
      <w:r>
        <w:rPr>
          <w:rFonts w:hint="eastAsia"/>
        </w:rPr>
        <w:t>（一）一般公共预算财政拨款支出决算总体情况</w:t>
      </w:r>
    </w:p>
    <w:p>
      <w:pPr>
        <w:pStyle w:val="2"/>
        <w:bidi w:val="0"/>
        <w:rPr>
          <w:rFonts w:hint="eastAsia"/>
        </w:rPr>
      </w:pPr>
      <w:r>
        <w:rPr>
          <w:rFonts w:hint="eastAsia"/>
        </w:rPr>
        <w:t>2024年度财政拨款支出2974.24万元，占本年支出合计的100%，与上年相比，财政拨款支出减少570.42万元，降低16.09%，主要是因为2024年压减妇女事业发展专项资金698万元。</w:t>
      </w:r>
    </w:p>
    <w:p>
      <w:pPr>
        <w:pStyle w:val="10"/>
        <w:bidi w:val="0"/>
        <w:rPr>
          <w:rFonts w:hint="eastAsia"/>
        </w:rPr>
      </w:pPr>
      <w:r>
        <w:rPr>
          <w:rFonts w:hint="eastAsia"/>
        </w:rPr>
        <w:t>（二）一般公共预算财政拨款支出决算结构情况</w:t>
      </w:r>
    </w:p>
    <w:p>
      <w:pPr>
        <w:pStyle w:val="2"/>
        <w:bidi w:val="0"/>
        <w:rPr>
          <w:rFonts w:hint="eastAsia"/>
        </w:rPr>
      </w:pPr>
      <w:r>
        <w:rPr>
          <w:rFonts w:hint="eastAsia"/>
        </w:rPr>
        <w:t>2024年度财政拨款支出2974.24万元，主要用于以下方面：一般公共服务（类）支出2442.57万元，占82.12%；教育（类）支出21.26万元，占0.71%</w:t>
      </w:r>
      <w:r>
        <w:rPr>
          <w:rFonts w:hint="default"/>
        </w:rPr>
        <w:t>；</w:t>
      </w:r>
      <w:r>
        <w:rPr>
          <w:rFonts w:hint="eastAsia"/>
        </w:rPr>
        <w:t>文化旅游体育与传媒（类）支出10万元，占比0.34%；社会保障和就业（类）支出289.55万元，占比9.74%；卫生健康（类）支出111.28万元，占比3.74%；住房保障（类）支出99.58万元，占比3.35%。</w:t>
      </w:r>
    </w:p>
    <w:p>
      <w:pPr>
        <w:pStyle w:val="10"/>
        <w:bidi w:val="0"/>
        <w:rPr>
          <w:rFonts w:hint="eastAsia"/>
        </w:rPr>
      </w:pPr>
      <w:r>
        <w:rPr>
          <w:rFonts w:hint="eastAsia"/>
        </w:rPr>
        <w:t>（三）一般公共预算财政拨款支出决算具体情况</w:t>
      </w:r>
    </w:p>
    <w:p>
      <w:pPr>
        <w:pStyle w:val="2"/>
        <w:bidi w:val="0"/>
        <w:rPr>
          <w:rFonts w:hint="eastAsia"/>
        </w:rPr>
      </w:pPr>
      <w:r>
        <w:rPr>
          <w:rFonts w:hint="eastAsia"/>
        </w:rPr>
        <w:t>2024年度财政拨款支出年初预算数为2778.85万元，支出决算数为2974.24万元，完成年初预算的107.03%，其中：</w:t>
      </w:r>
    </w:p>
    <w:p>
      <w:pPr>
        <w:pStyle w:val="2"/>
        <w:bidi w:val="0"/>
        <w:rPr>
          <w:rFonts w:hint="eastAsia"/>
        </w:rPr>
      </w:pPr>
      <w:r>
        <w:rPr>
          <w:rFonts w:hint="eastAsia"/>
        </w:rPr>
        <w:t>1</w:t>
      </w:r>
      <w:r>
        <w:rPr>
          <w:rFonts w:hint="default"/>
        </w:rPr>
        <w:t xml:space="preserve">. </w:t>
      </w:r>
      <w:r>
        <w:rPr>
          <w:rFonts w:hint="eastAsia"/>
        </w:rPr>
        <w:t>一般公共服务（类）群众团体事务（款）行政运行（项）。</w:t>
      </w:r>
    </w:p>
    <w:p>
      <w:pPr>
        <w:pStyle w:val="2"/>
        <w:bidi w:val="0"/>
        <w:rPr>
          <w:rFonts w:hint="eastAsia"/>
        </w:rPr>
      </w:pPr>
      <w:r>
        <w:rPr>
          <w:rFonts w:hint="eastAsia"/>
        </w:rPr>
        <w:t>年初预算为939.18万元，支出决算为985.83万元，完成年初预算的104.97%，决算数大于年初预算数的主要原因是：通过年中追加安排部分财政拨款预算。</w:t>
      </w:r>
    </w:p>
    <w:p>
      <w:pPr>
        <w:pStyle w:val="2"/>
        <w:bidi w:val="0"/>
        <w:rPr>
          <w:rFonts w:hint="eastAsia"/>
        </w:rPr>
      </w:pPr>
      <w:r>
        <w:rPr>
          <w:rFonts w:hint="eastAsia"/>
        </w:rPr>
        <w:t>2</w:t>
      </w:r>
      <w:r>
        <w:rPr>
          <w:rFonts w:hint="default"/>
        </w:rPr>
        <w:t xml:space="preserve">. </w:t>
      </w:r>
      <w:r>
        <w:rPr>
          <w:rFonts w:hint="eastAsia"/>
        </w:rPr>
        <w:t>一般公共服务（类）群众团体事务（款）一般行政管理事务（项）。</w:t>
      </w:r>
    </w:p>
    <w:p>
      <w:pPr>
        <w:pStyle w:val="2"/>
        <w:bidi w:val="0"/>
        <w:rPr>
          <w:rFonts w:hint="eastAsia"/>
        </w:rPr>
      </w:pPr>
      <w:r>
        <w:rPr>
          <w:rFonts w:hint="eastAsia"/>
        </w:rPr>
        <w:t>年初预算为1334万元，支出决算为1456.74万元，完成年初预算的109.2%，决算数大于年初预算数的主要原因是：通过年中追加安排部分财政拨款预算及使用了上年度财政拨款结转资金。</w:t>
      </w:r>
    </w:p>
    <w:p>
      <w:pPr>
        <w:pStyle w:val="2"/>
        <w:bidi w:val="0"/>
        <w:rPr>
          <w:rFonts w:hint="eastAsia"/>
        </w:rPr>
      </w:pPr>
      <w:r>
        <w:rPr>
          <w:rFonts w:hint="eastAsia"/>
        </w:rPr>
        <w:t>3</w:t>
      </w:r>
      <w:r>
        <w:rPr>
          <w:rFonts w:hint="default"/>
        </w:rPr>
        <w:t xml:space="preserve">. </w:t>
      </w:r>
      <w:r>
        <w:rPr>
          <w:rFonts w:hint="eastAsia"/>
          <w:spacing w:val="-6"/>
        </w:rPr>
        <w:t>教育支出（类）进修及培训（款）培训支出（项），年初预算为21.26万元，支出决算为21.26万元，完成年初预算的100%。</w:t>
      </w:r>
    </w:p>
    <w:p>
      <w:pPr>
        <w:pStyle w:val="2"/>
        <w:bidi w:val="0"/>
        <w:rPr>
          <w:rFonts w:hint="eastAsia"/>
        </w:rPr>
      </w:pPr>
      <w:r>
        <w:rPr>
          <w:rFonts w:hint="eastAsia"/>
        </w:rPr>
        <w:t>4</w:t>
      </w:r>
      <w:r>
        <w:rPr>
          <w:rFonts w:hint="default"/>
        </w:rPr>
        <w:t xml:space="preserve">. </w:t>
      </w:r>
      <w:r>
        <w:rPr>
          <w:rFonts w:hint="eastAsia"/>
        </w:rPr>
        <w:t>文化旅游体育与传媒支出（类）新闻出版电影（款）出版发行（项），年初预算为0万元，支出决算为10万元，为本年追加预算。</w:t>
      </w:r>
    </w:p>
    <w:p>
      <w:pPr>
        <w:pStyle w:val="2"/>
        <w:bidi w:val="0"/>
        <w:rPr>
          <w:rFonts w:hint="eastAsia"/>
        </w:rPr>
      </w:pPr>
      <w:r>
        <w:rPr>
          <w:rFonts w:hint="eastAsia"/>
        </w:rPr>
        <w:t>5</w:t>
      </w:r>
      <w:r>
        <w:rPr>
          <w:rFonts w:hint="default"/>
        </w:rPr>
        <w:t xml:space="preserve">. </w:t>
      </w:r>
      <w:r>
        <w:rPr>
          <w:rFonts w:hint="eastAsia"/>
        </w:rPr>
        <w:t>社会保障和就业支出（类）行政事业单位养老支出（款）行政单位离退休（项），年初预算为170.28万元，支出决算为170.28万元，完成年初预算的100%。</w:t>
      </w:r>
    </w:p>
    <w:p>
      <w:pPr>
        <w:pStyle w:val="2"/>
        <w:bidi w:val="0"/>
        <w:rPr>
          <w:rFonts w:hint="eastAsia"/>
        </w:rPr>
      </w:pPr>
      <w:r>
        <w:rPr>
          <w:rFonts w:hint="eastAsia"/>
        </w:rPr>
        <w:t>6</w:t>
      </w:r>
      <w:r>
        <w:rPr>
          <w:rFonts w:hint="default"/>
        </w:rPr>
        <w:t xml:space="preserve">. </w:t>
      </w:r>
      <w:r>
        <w:rPr>
          <w:rFonts w:hint="eastAsia"/>
        </w:rPr>
        <w:t>社会保障和就业支出（类）行政事业单位养老支出（款）机关事业单位基本养老保险缴费支出（项），年初预算为97.77万元，支出决算为97.77万元，完成年初预算的100%。</w:t>
      </w:r>
    </w:p>
    <w:p>
      <w:pPr>
        <w:pStyle w:val="2"/>
        <w:bidi w:val="0"/>
        <w:rPr>
          <w:rFonts w:hint="eastAsia"/>
        </w:rPr>
      </w:pPr>
      <w:r>
        <w:rPr>
          <w:rFonts w:hint="eastAsia"/>
        </w:rPr>
        <w:t>7</w:t>
      </w:r>
      <w:r>
        <w:rPr>
          <w:rFonts w:hint="default"/>
        </w:rPr>
        <w:t xml:space="preserve">. </w:t>
      </w:r>
      <w:r>
        <w:rPr>
          <w:rFonts w:hint="eastAsia"/>
        </w:rPr>
        <w:t>社会保障和就业支出（类）抚恤（款）死亡抚恤（项），年初预算为0万元，支出决算为16万元，为本年追加预算。</w:t>
      </w:r>
    </w:p>
    <w:p>
      <w:pPr>
        <w:pStyle w:val="2"/>
        <w:bidi w:val="0"/>
        <w:rPr>
          <w:rFonts w:hint="eastAsia"/>
        </w:rPr>
      </w:pPr>
      <w:r>
        <w:rPr>
          <w:rFonts w:hint="eastAsia"/>
        </w:rPr>
        <w:t>8</w:t>
      </w:r>
      <w:r>
        <w:rPr>
          <w:rFonts w:hint="default"/>
        </w:rPr>
        <w:t xml:space="preserve">. </w:t>
      </w:r>
      <w:r>
        <w:rPr>
          <w:rFonts w:hint="eastAsia"/>
        </w:rPr>
        <w:t>社会保障和就业支出（类）其他社会保障和就业支出（款）其他社会保障和就业支出（项），年初预算为5.5万元，支出决算为5.5万元，完成年初预算的100%。</w:t>
      </w:r>
    </w:p>
    <w:p>
      <w:pPr>
        <w:pStyle w:val="2"/>
        <w:bidi w:val="0"/>
        <w:rPr>
          <w:rFonts w:hint="eastAsia"/>
        </w:rPr>
      </w:pPr>
      <w:r>
        <w:rPr>
          <w:rFonts w:hint="eastAsia"/>
        </w:rPr>
        <w:t>9</w:t>
      </w:r>
      <w:r>
        <w:rPr>
          <w:rFonts w:hint="default"/>
        </w:rPr>
        <w:t xml:space="preserve">. </w:t>
      </w:r>
      <w:r>
        <w:rPr>
          <w:rFonts w:hint="eastAsia"/>
        </w:rPr>
        <w:t>卫生健康支出（类）行政事业单位医疗（款）行政单位医疗（项），年初预算111.28万元，支出决算为111.28万元，完成年初预算的100%。</w:t>
      </w:r>
    </w:p>
    <w:p>
      <w:pPr>
        <w:pStyle w:val="2"/>
        <w:bidi w:val="0"/>
        <w:rPr>
          <w:rFonts w:hint="eastAsia"/>
        </w:rPr>
      </w:pPr>
      <w:r>
        <w:rPr>
          <w:rFonts w:hint="eastAsia"/>
        </w:rPr>
        <w:t>10</w:t>
      </w:r>
      <w:r>
        <w:rPr>
          <w:rFonts w:hint="default"/>
        </w:rPr>
        <w:t xml:space="preserve">. </w:t>
      </w:r>
      <w:r>
        <w:rPr>
          <w:rFonts w:hint="eastAsia"/>
        </w:rPr>
        <w:t>住房保障支出（类）住房改革支出（款）住房公积金（项），年初预算为99.58万元，支出决算为99.58万元，完成年初预算的100%。</w:t>
      </w:r>
    </w:p>
    <w:p>
      <w:pPr>
        <w:pStyle w:val="14"/>
        <w:bidi w:val="0"/>
        <w:rPr>
          <w:rFonts w:hint="eastAsia"/>
        </w:rPr>
      </w:pPr>
      <w:r>
        <w:rPr>
          <w:rFonts w:hint="eastAsia"/>
        </w:rPr>
        <w:t>六、一般公共预算财政拨款基本支出决算情况说明</w:t>
      </w:r>
    </w:p>
    <w:p>
      <w:pPr>
        <w:pStyle w:val="2"/>
        <w:bidi w:val="0"/>
        <w:rPr>
          <w:rFonts w:hint="eastAsia"/>
        </w:rPr>
      </w:pPr>
      <w:r>
        <w:rPr>
          <w:rFonts w:hint="eastAsia"/>
        </w:rPr>
        <w:t>2024</w:t>
      </w:r>
      <w:r>
        <w:rPr>
          <w:rFonts w:hint="eastAsia"/>
          <w:spacing w:val="-6"/>
        </w:rPr>
        <w:t>年度一般公共预算财政拨款基本支出1462.8万元，其中：</w:t>
      </w:r>
    </w:p>
    <w:p>
      <w:pPr>
        <w:pStyle w:val="2"/>
        <w:bidi w:val="0"/>
        <w:rPr>
          <w:rFonts w:hint="eastAsia"/>
        </w:rPr>
      </w:pPr>
      <w:r>
        <w:rPr>
          <w:rStyle w:val="15"/>
          <w:rFonts w:hint="eastAsia"/>
        </w:rPr>
        <w:t>人员经费</w:t>
      </w:r>
      <w:r>
        <w:rPr>
          <w:rFonts w:hint="eastAsia"/>
        </w:rPr>
        <w:t>1195.25万元，占基本支出的81.71%,主要包括基本工资、津贴补贴、奖金、机关事业单位基本养老保险缴费、职业年金缴费、职工基本医疗保险缴费、公务员医疗补助缴费、其他社会保障缴费、住房公积金、退休费、抚恤金、生活补助、其他对个人和家庭的补助。</w:t>
      </w:r>
    </w:p>
    <w:p>
      <w:pPr>
        <w:pStyle w:val="2"/>
        <w:bidi w:val="0"/>
        <w:rPr>
          <w:rFonts w:hint="eastAsia"/>
        </w:rPr>
      </w:pPr>
      <w:r>
        <w:rPr>
          <w:rStyle w:val="15"/>
          <w:rFonts w:hint="eastAsia"/>
        </w:rPr>
        <w:t>公用经费</w:t>
      </w:r>
      <w:r>
        <w:rPr>
          <w:rFonts w:hint="eastAsia"/>
        </w:rPr>
        <w:t>267.55万元，占基本支出的18.29%，主要包括办公费、印刷费、水费、电费、邮电费、取暖费、差旅费、维修（护）费、会议费、培训费、公务接待费、劳务费、委托业务费、工会经费、福利费、公务用车运行维护费、其他交通费用、其他商品和服务支出。</w:t>
      </w:r>
    </w:p>
    <w:p>
      <w:pPr>
        <w:pStyle w:val="14"/>
        <w:bidi w:val="0"/>
        <w:rPr>
          <w:rFonts w:hint="eastAsia"/>
        </w:rPr>
      </w:pPr>
      <w:r>
        <w:rPr>
          <w:rFonts w:hint="eastAsia"/>
        </w:rPr>
        <w:t>七、财政拨款“三公”经费支出决算情况说明</w:t>
      </w:r>
    </w:p>
    <w:p>
      <w:pPr>
        <w:pStyle w:val="10"/>
        <w:bidi w:val="0"/>
        <w:rPr>
          <w:rFonts w:hint="eastAsia"/>
        </w:rPr>
      </w:pPr>
      <w:r>
        <w:rPr>
          <w:rFonts w:hint="eastAsia"/>
        </w:rPr>
        <w:t>（一）“三公”经费财政拨款支出决算总体情况说明</w:t>
      </w:r>
    </w:p>
    <w:p>
      <w:pPr>
        <w:pStyle w:val="2"/>
        <w:bidi w:val="0"/>
        <w:rPr>
          <w:rFonts w:hint="eastAsia"/>
        </w:rPr>
      </w:pPr>
      <w:r>
        <w:rPr>
          <w:rFonts w:hint="eastAsia"/>
        </w:rPr>
        <w:t>2024年度“三公”经费财政拨款支出预算为60.5万元，支出决算为29.45万元，完成预算的48.68%；与上年相比减少29.85万元，降低50.34%。决算数小于预算数的主要原因是积极贯彻落实中央关于厉行节约、加强“三公”经费管理严控一般性支出的要求，控制各项费用支出。决算数小于上年数的主要原因是按照工作任务安排，2024年各项活动减少，支出相应减少。</w:t>
      </w:r>
    </w:p>
    <w:p>
      <w:pPr>
        <w:pStyle w:val="10"/>
        <w:bidi w:val="0"/>
        <w:rPr>
          <w:rFonts w:hint="eastAsia"/>
        </w:rPr>
      </w:pPr>
      <w:r>
        <w:rPr>
          <w:rFonts w:hint="eastAsia"/>
        </w:rPr>
        <w:t>（二）“三公”经费财政拨款支出决算具体情况说明</w:t>
      </w:r>
    </w:p>
    <w:p>
      <w:pPr>
        <w:pStyle w:val="2"/>
        <w:bidi w:val="0"/>
        <w:rPr>
          <w:rFonts w:hint="eastAsia"/>
        </w:rPr>
      </w:pPr>
      <w:r>
        <w:rPr>
          <w:rFonts w:hint="eastAsia"/>
        </w:rPr>
        <w:t>1.</w:t>
      </w:r>
      <w:r>
        <w:rPr>
          <w:rFonts w:hint="default"/>
        </w:rPr>
        <w:t xml:space="preserve"> </w:t>
      </w:r>
      <w:r>
        <w:rPr>
          <w:rFonts w:hint="eastAsia"/>
        </w:rPr>
        <w:t>因公出国（境）费支出预算为15万元，支出决算为0万元，完成预算的0%；与上年相比减少31.89万元，降低100%。决算数小于预算数的主要原因是是严格落实过紧日子要求</w:t>
      </w:r>
      <w:r>
        <w:rPr>
          <w:rFonts w:hint="default"/>
        </w:rPr>
        <w:t>，</w:t>
      </w:r>
      <w:r>
        <w:rPr>
          <w:rFonts w:hint="eastAsia"/>
        </w:rPr>
        <w:t>从严控制出访团组人数。决算数小于上年数的主要原因是2024年没有安排出国任务。2024年度安排因公出国（境）团组0个，累计0人次。</w:t>
      </w:r>
    </w:p>
    <w:p>
      <w:pPr>
        <w:pStyle w:val="2"/>
        <w:bidi w:val="0"/>
        <w:rPr>
          <w:rFonts w:hint="eastAsia"/>
        </w:rPr>
      </w:pPr>
      <w:r>
        <w:rPr>
          <w:rFonts w:hint="eastAsia"/>
        </w:rPr>
        <w:t>2.</w:t>
      </w:r>
      <w:r>
        <w:rPr>
          <w:rFonts w:hint="default"/>
        </w:rPr>
        <w:t xml:space="preserve"> </w:t>
      </w:r>
      <w:r>
        <w:rPr>
          <w:rFonts w:hint="eastAsia"/>
        </w:rPr>
        <w:t>公务用车购置费及运行维护费支出预算为38.5万元，支出决算为24.89万元，完成预算的64.65%；与上年相比增加0.42万元，增长1.72%。其中：</w:t>
      </w:r>
    </w:p>
    <w:p>
      <w:pPr>
        <w:pStyle w:val="2"/>
        <w:bidi w:val="0"/>
        <w:rPr>
          <w:rFonts w:hint="eastAsia"/>
        </w:rPr>
      </w:pPr>
      <w:r>
        <w:rPr>
          <w:rFonts w:hint="eastAsia"/>
        </w:rPr>
        <w:t>公务用车购置费支出预算为0万元，支出决算为0万元。</w:t>
      </w:r>
    </w:p>
    <w:p>
      <w:pPr>
        <w:pStyle w:val="2"/>
        <w:bidi w:val="0"/>
        <w:rPr>
          <w:rFonts w:hint="eastAsia"/>
        </w:rPr>
      </w:pPr>
      <w:r>
        <w:rPr>
          <w:rFonts w:hint="eastAsia"/>
        </w:rPr>
        <w:t>公务用车运行维护费支出预算为38.5万元，支出决算为24.89万元，主要是公车运维支出，完成预算的64.65%；与上年相比增加0.42万元，增长1.72%。决算数小于预算数的主要原因是贯彻落实过“紧日子”有关要求，加强日常管理，车辆运行维护费用有所减少。决算数大于上年数的主要原因公车老化，维修费增加。截止2024年12月31日，我单位开支财政拨款的公务用车保有量为4辆。</w:t>
      </w:r>
    </w:p>
    <w:p>
      <w:pPr>
        <w:pStyle w:val="2"/>
        <w:bidi w:val="0"/>
        <w:rPr>
          <w:rFonts w:hint="eastAsia"/>
        </w:rPr>
      </w:pPr>
      <w:r>
        <w:rPr>
          <w:rFonts w:hint="eastAsia"/>
        </w:rPr>
        <w:t>3.</w:t>
      </w:r>
      <w:r>
        <w:rPr>
          <w:rFonts w:hint="default"/>
        </w:rPr>
        <w:t xml:space="preserve"> </w:t>
      </w:r>
      <w:r>
        <w:rPr>
          <w:rFonts w:hint="eastAsia"/>
        </w:rPr>
        <w:t>公务接待费支出预算为7万元，支出决算为4.56万元，完成预算的65.14%；与上年相比增加1.62万元，增长55.1%。决算数小于预算数的主要原因是原因是落实过“紧日子”要求，严格控制公务接待费支出。决算数大于上年数的主要原因是接待任务有所增加。2024年度共接待来访团组26个、来宾312人次，主要是接待“石榴花.巾帼援疆行动”最美家庭交往交流交融活动、围绕促进乡村振兴，建设女性友好城市、数字化经济等方面进行会面、开展“跟党奋进新征程，巾帼建功新时代”示范宣讲、组织举办“一路芬芳.锦绣潇湘”全媒体实地采访宣传活动发生的接待支出。</w:t>
      </w:r>
    </w:p>
    <w:p>
      <w:pPr>
        <w:pStyle w:val="14"/>
        <w:bidi w:val="0"/>
        <w:rPr>
          <w:rFonts w:hint="eastAsia"/>
        </w:rPr>
      </w:pPr>
      <w:r>
        <w:rPr>
          <w:rFonts w:hint="eastAsia"/>
        </w:rPr>
        <w:t>八、政府性基金预算收入支出决算情况</w:t>
      </w:r>
    </w:p>
    <w:p>
      <w:pPr>
        <w:pStyle w:val="2"/>
        <w:bidi w:val="0"/>
        <w:rPr>
          <w:rFonts w:hint="eastAsia"/>
        </w:rPr>
      </w:pPr>
      <w:r>
        <w:rPr>
          <w:rFonts w:hint="eastAsia"/>
        </w:rPr>
        <w:t>2024年度本单位无政府性基金收支。</w:t>
      </w:r>
    </w:p>
    <w:p>
      <w:pPr>
        <w:pStyle w:val="14"/>
        <w:bidi w:val="0"/>
        <w:rPr>
          <w:rFonts w:hint="eastAsia"/>
        </w:rPr>
      </w:pPr>
      <w:r>
        <w:rPr>
          <w:rFonts w:hint="eastAsia"/>
        </w:rPr>
        <w:t>九、关于机关运行经费支出说明</w:t>
      </w:r>
    </w:p>
    <w:p>
      <w:pPr>
        <w:pStyle w:val="2"/>
        <w:bidi w:val="0"/>
        <w:rPr>
          <w:rFonts w:hint="eastAsia"/>
        </w:rPr>
      </w:pPr>
      <w:r>
        <w:rPr>
          <w:rFonts w:hint="eastAsia"/>
        </w:rPr>
        <w:t>本单位2024年度机关运行经费支出267.55万元，比上年决算数减少51.91万元，降低16.25%。主要原因是：我会严格落实过“紧日子”要求，持续压减一般性支出。</w:t>
      </w:r>
    </w:p>
    <w:p>
      <w:pPr>
        <w:pStyle w:val="14"/>
        <w:bidi w:val="0"/>
        <w:rPr>
          <w:rFonts w:hint="eastAsia"/>
        </w:rPr>
      </w:pPr>
      <w:r>
        <w:rPr>
          <w:rFonts w:hint="eastAsia"/>
        </w:rPr>
        <w:t>十、一般性支出情况说明</w:t>
      </w:r>
    </w:p>
    <w:p>
      <w:pPr>
        <w:pStyle w:val="2"/>
        <w:bidi w:val="0"/>
        <w:rPr>
          <w:rFonts w:hint="eastAsia"/>
        </w:rPr>
      </w:pPr>
      <w:r>
        <w:rPr>
          <w:rFonts w:hint="eastAsia"/>
        </w:rPr>
        <w:t>2024年本单位开支会议费8.47万元，用于召开2023年度述职测评会议，人数60人，内容为年度述职测评；召开推荐省直单位副厅领导干部会议，人数72人，内容为推荐一名省直单位副厅领导；召开职工大会，人数为72人，内容为推荐一巡；召开党建和党风廉政建设会暨基层党组织书记抓党建工作述职述廉评议会，人数为78人，内容为党建和党风廉政建设会暨基层党组织书记抓党建工作述职述廉；召开省妇联十三届六次常委、七次执委会，人数为89人，内容为传达学习全国妇联常委（扩大）会议精神，总结上半年工作，部署下半年工作；召开省妇联十三届七次常委、八次执委会，人数为147人，内容为传达学习中央书记处重要指示、全国妇联十三届二次执委会议和省委群团组织工作会议精神，总结2023年工作，部署2024年工作；召开省政府妇儿工委成员单位联络员会议，人数为67人，内容为妇儿工委全年工作布置；召开省妇女儿童相关工作专题会，人数为64人，内容为落实全国妇联黄晓薇同志来湘调研有关工作要求和晓明书记有关批示要求，专题研究妇女儿童有关工作。开支培训费46.07万元，用于开展全省妇联系统“三新”领域妇联组织建设专题培训，人数61人，内容为学习贯彻习近平总书记同全国妇联新一届领导班子成员集体谈话时的重要讲话精神和中国妇女十三大精神及总结、交流、探讨新形势下湖南“三新”领域妇联组织建设工作；开展2024年湖南省家庭教育指导服务“向阳花”行动工作部署暨业务培训会，人数为174人，内容为家庭教育指导服务“向阳花”行动工作部署；开展2024年湖南省家庭教育咨询指导骨干培训，人数为207人，内容为家庭教育咨询指导；开展湖南省第十四次妇女代表大会选举工作培训会，人数为46人，内容为指导各市州完成好代表和执委候选人的推荐、考察、选举工作；开展全省妇联妇联系统“三新”领域妇联组织建设现场会暨培训班，人数为197人，内容为通过专题辅导、交流分享、现场教学等方式，提升做好妇联组织工作的能力水平。举办三八节活动，开支20万元，主要是会务费、直播视频制作费、视觉制作费、宣传费等支出。</w:t>
      </w:r>
    </w:p>
    <w:p>
      <w:pPr>
        <w:pStyle w:val="14"/>
        <w:bidi w:val="0"/>
        <w:rPr>
          <w:rFonts w:hint="eastAsia"/>
        </w:rPr>
      </w:pPr>
      <w:r>
        <w:rPr>
          <w:rFonts w:hint="eastAsia"/>
        </w:rPr>
        <w:t>十一、关于政府采购支出说明</w:t>
      </w:r>
    </w:p>
    <w:p>
      <w:pPr>
        <w:pStyle w:val="2"/>
        <w:bidi w:val="0"/>
        <w:rPr>
          <w:rFonts w:hint="eastAsia"/>
        </w:rPr>
      </w:pPr>
      <w:r>
        <w:rPr>
          <w:rFonts w:hint="eastAsia"/>
        </w:rPr>
        <w:t>本单位2024年度政府采购支出总额1070.01万元，其中：政府采购货物支出46.48万元、政府采购服务支出1023.53万元。授予中小企业合同金额700万元，占政府采购支出总额的65.42%，其中：授予小微企业合同金额700万元，占授予中小企业合同金额的100%。货物采购授予中小企业合同金额占货物支出金额的82.5%，服务采购授予中小企业合同金额占服务支出金额的78.3%。</w:t>
      </w:r>
    </w:p>
    <w:p>
      <w:pPr>
        <w:pStyle w:val="14"/>
        <w:bidi w:val="0"/>
        <w:rPr>
          <w:rFonts w:hint="eastAsia"/>
        </w:rPr>
      </w:pPr>
      <w:r>
        <w:rPr>
          <w:rFonts w:hint="eastAsia"/>
        </w:rPr>
        <w:t>十二、关于国有资产占用情况说明</w:t>
      </w:r>
    </w:p>
    <w:p>
      <w:pPr>
        <w:pStyle w:val="2"/>
        <w:bidi w:val="0"/>
        <w:rPr>
          <w:rFonts w:hint="eastAsia"/>
        </w:rPr>
      </w:pPr>
      <w:r>
        <w:rPr>
          <w:rFonts w:hint="eastAsia"/>
        </w:rPr>
        <w:t>截至2024年12月31日，本单位共有车辆4辆，其中，主要负责人用车1辆、机要通信用车1辆、应急保障用车1辆、离退休干部服务用车1辆；单位价值100万元以上设备（不含车辆）0台（套）。</w:t>
      </w:r>
    </w:p>
    <w:p>
      <w:pPr>
        <w:pStyle w:val="14"/>
        <w:bidi w:val="0"/>
        <w:rPr>
          <w:rFonts w:hint="eastAsia"/>
        </w:rPr>
      </w:pPr>
      <w:r>
        <w:rPr>
          <w:rFonts w:hint="eastAsia"/>
        </w:rPr>
        <w:t>十三、关于2024年度预算绩效情况的说明</w:t>
      </w:r>
    </w:p>
    <w:p>
      <w:pPr>
        <w:pStyle w:val="10"/>
        <w:bidi w:val="0"/>
        <w:rPr>
          <w:rFonts w:hint="eastAsia"/>
        </w:rPr>
      </w:pPr>
      <w:r>
        <w:rPr>
          <w:rFonts w:hint="eastAsia"/>
        </w:rPr>
        <w:t>（一）绩效评价工作开展情况</w:t>
      </w:r>
    </w:p>
    <w:p>
      <w:pPr>
        <w:pStyle w:val="2"/>
        <w:bidi w:val="0"/>
        <w:rPr>
          <w:rFonts w:hint="eastAsia"/>
        </w:rPr>
      </w:pPr>
      <w:r>
        <w:rPr>
          <w:rStyle w:val="15"/>
          <w:rFonts w:hint="eastAsia"/>
        </w:rPr>
        <w:t>一是绩效自评开展情况。</w:t>
      </w:r>
      <w:r>
        <w:rPr>
          <w:rFonts w:hint="eastAsia"/>
        </w:rPr>
        <w:t>组织对2024年度本单位整体支出开展绩效自评，涉及项目3个，共涉及资金4576.91万元。其中，一般公共预算项目3 个2363.71万元，占一般公共预算支出总额的51.64%；无政府性基金预算项目；无国有资本经营预算项目；无社会保险基金预算项目。</w:t>
      </w:r>
      <w:r>
        <w:rPr>
          <w:rStyle w:val="15"/>
          <w:rFonts w:hint="eastAsia"/>
        </w:rPr>
        <w:t>二是部门评价开展情况。</w:t>
      </w:r>
      <w:r>
        <w:rPr>
          <w:rFonts w:hint="eastAsia"/>
        </w:rPr>
        <w:t>组织对所属单位2024年度“省级妇女儿童事业发展专项”“业务工作经费”“其他事业发展经费”等3个项目开展了部门评价，涉及一般公共预算支出2363.71万元，政府性基金预算支出0万元，国有资本经营预算支出0万元，社会保险基金预算支出0万元。</w:t>
      </w:r>
    </w:p>
    <w:p>
      <w:pPr>
        <w:pStyle w:val="10"/>
        <w:bidi w:val="0"/>
        <w:rPr>
          <w:rFonts w:hint="eastAsia"/>
        </w:rPr>
      </w:pPr>
      <w:r>
        <w:rPr>
          <w:rFonts w:hint="eastAsia"/>
        </w:rPr>
        <w:t>（二）绩效评价结果</w:t>
      </w:r>
    </w:p>
    <w:p>
      <w:pPr>
        <w:pStyle w:val="11"/>
        <w:bidi w:val="0"/>
        <w:rPr>
          <w:rFonts w:hint="eastAsia"/>
        </w:rPr>
      </w:pPr>
      <w:r>
        <w:rPr>
          <w:rFonts w:hint="eastAsia"/>
        </w:rPr>
        <w:t>1. 绩效自评结果</w:t>
      </w:r>
    </w:p>
    <w:p>
      <w:pPr>
        <w:pStyle w:val="2"/>
        <w:bidi w:val="0"/>
        <w:rPr>
          <w:rFonts w:hint="eastAsia"/>
        </w:rPr>
      </w:pPr>
      <w:r>
        <w:rPr>
          <w:rFonts w:hint="eastAsia"/>
        </w:rPr>
        <w:t>2024年度本部门（单位）整体支出全年预算数4576.91万元，执行数4061.53万元，完成预算的88.74%，绩效自评得分95.8分，评价等级为“优秀”。绩效目标完成情况：开展教育培训和宣传宣讲，引导各级妇联干部和广大妇女群众学习贯彻习近平新时代中国特色社会主义思想和党的二十大精神；深化妇联改革，建设新媒体，加强调查研究，转变工作作风；实施巾帼创新创业行动、乡村振兴巾帼行动，开展技能培训，帮助妇女致富；实施妇女儿童发展规划，维护妇女儿童合法权益；以家庭家教家风为重点，深化精神文明创建活动，推动形成社会文明新风尚。</w:t>
      </w:r>
    </w:p>
    <w:p>
      <w:pPr>
        <w:pStyle w:val="11"/>
        <w:bidi w:val="0"/>
        <w:rPr>
          <w:rFonts w:hint="eastAsia"/>
        </w:rPr>
      </w:pPr>
      <w:r>
        <w:rPr>
          <w:rFonts w:hint="eastAsia"/>
        </w:rPr>
        <w:t>2. 部门评价结果</w:t>
      </w:r>
    </w:p>
    <w:p>
      <w:pPr>
        <w:pStyle w:val="2"/>
        <w:bidi w:val="0"/>
        <w:rPr>
          <w:rFonts w:hint="eastAsia"/>
        </w:rPr>
      </w:pPr>
      <w:r>
        <w:rPr>
          <w:rFonts w:hint="eastAsia"/>
        </w:rPr>
        <w:t>（1）妇女儿童事业发展项目全年预算数1567万元，执行数1100.3万元，完成预算的75.31%，部门评价得分94.8分，评价等级为“优秀”。</w:t>
      </w:r>
    </w:p>
    <w:p>
      <w:pPr>
        <w:pStyle w:val="2"/>
        <w:bidi w:val="0"/>
        <w:rPr>
          <w:rFonts w:hint="eastAsia"/>
        </w:rPr>
      </w:pPr>
      <w:r>
        <w:rPr>
          <w:rFonts w:hint="eastAsia"/>
        </w:rPr>
        <w:t>（2）家庭教育民生实事项目全年预算108.78万元，执行数33.07万元，完成预算的30.4%，部门评价得分88分，评价等级为“良好”。</w:t>
      </w:r>
    </w:p>
    <w:p>
      <w:pPr>
        <w:pStyle w:val="2"/>
        <w:bidi w:val="0"/>
        <w:rPr>
          <w:rFonts w:hint="eastAsia"/>
        </w:rPr>
      </w:pPr>
      <w:r>
        <w:rPr>
          <w:rFonts w:hint="eastAsia"/>
        </w:rPr>
        <w:t>（3）出国费项目全年预算15万元，执行数0万元。本年度未安排出国计划。</w:t>
      </w:r>
    </w:p>
    <w:p>
      <w:pPr>
        <w:pStyle w:val="10"/>
        <w:bidi w:val="0"/>
        <w:rPr>
          <w:rFonts w:hint="eastAsia"/>
        </w:rPr>
      </w:pPr>
      <w:r>
        <w:rPr>
          <w:rFonts w:hint="eastAsia"/>
        </w:rPr>
        <w:t>（三）评价结果应用情况</w:t>
      </w:r>
    </w:p>
    <w:p>
      <w:pPr>
        <w:pStyle w:val="2"/>
        <w:bidi w:val="0"/>
      </w:pPr>
      <w:r>
        <w:rPr>
          <w:rFonts w:hint="eastAsia"/>
        </w:rPr>
        <w:t>一是将绩效评价结果与预算分配相结合。绩效评价情况，作为下年预算分配的重要依据。二是按要求在门户网站公开绩效自评结果，接受社会监督。</w:t>
      </w:r>
    </w:p>
    <w:p>
      <w:pPr>
        <w:rPr>
          <w:rFonts w:hint="eastAsia"/>
        </w:rPr>
      </w:pPr>
      <w:r>
        <w:rPr>
          <w:rFonts w:hint="eastAsia"/>
        </w:rPr>
        <w:br w:type="page"/>
      </w:r>
    </w:p>
    <w:p>
      <w:pPr>
        <w:pStyle w:val="7"/>
        <w:bidi w:val="0"/>
        <w:rPr>
          <w:rFonts w:hint="eastAsia"/>
        </w:rPr>
      </w:pPr>
      <w:r>
        <w:rPr>
          <w:rFonts w:hint="eastAsia"/>
        </w:rPr>
        <w:t>第四部分  名词解释</w:t>
      </w:r>
    </w:p>
    <w:p>
      <w:pPr>
        <w:pStyle w:val="2"/>
        <w:bidi w:val="0"/>
        <w:rPr>
          <w:rFonts w:hint="eastAsia"/>
        </w:rPr>
      </w:pPr>
    </w:p>
    <w:p>
      <w:pPr>
        <w:pStyle w:val="2"/>
        <w:bidi w:val="0"/>
        <w:rPr>
          <w:rFonts w:hint="eastAsia"/>
        </w:rPr>
      </w:pPr>
      <w:r>
        <w:rPr>
          <w:rFonts w:hint="eastAsia"/>
        </w:rPr>
        <w:t>1. 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bidi w:val="0"/>
        <w:rPr>
          <w:rFonts w:hint="eastAsia"/>
        </w:rPr>
      </w:pPr>
      <w:r>
        <w:rPr>
          <w:rFonts w:hint="eastAsia"/>
        </w:rPr>
        <w:t>2. “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bidi w:val="0"/>
        <w:rPr>
          <w:rFonts w:hint="eastAsia"/>
        </w:rPr>
      </w:pPr>
      <w:r>
        <w:rPr>
          <w:rFonts w:hint="eastAsia"/>
        </w:rPr>
        <w:t>3. 财政拨款收入：指单位本年度从省级财政部门取得的财政拨款。</w:t>
      </w:r>
    </w:p>
    <w:p>
      <w:pPr>
        <w:pStyle w:val="2"/>
        <w:bidi w:val="0"/>
        <w:rPr>
          <w:rFonts w:hint="eastAsia"/>
        </w:rPr>
      </w:pPr>
      <w:r>
        <w:rPr>
          <w:rFonts w:hint="eastAsia"/>
        </w:rPr>
        <w:t>4. 上年结转和结余：指以前年度尚未完成、结转到本年仍按原规定用途继续使用的资金。</w:t>
      </w:r>
    </w:p>
    <w:p>
      <w:pPr>
        <w:pStyle w:val="2"/>
        <w:bidi w:val="0"/>
        <w:rPr>
          <w:rFonts w:hint="eastAsia"/>
        </w:rPr>
      </w:pPr>
      <w:r>
        <w:rPr>
          <w:rFonts w:hint="eastAsia"/>
        </w:rPr>
        <w:t>5. 基本支出：指单位为保障其机构正常运转、完成日常工作任务而发生的各项支出。</w:t>
      </w:r>
    </w:p>
    <w:p>
      <w:pPr>
        <w:pStyle w:val="2"/>
        <w:bidi w:val="0"/>
        <w:rPr>
          <w:rFonts w:hint="eastAsia"/>
        </w:rPr>
      </w:pPr>
      <w:r>
        <w:rPr>
          <w:rFonts w:hint="eastAsia"/>
        </w:rPr>
        <w:t>6. 项目支出：指单位为完成特定工作任务或事业发展目标，在基本支出之外发生的各项支出。</w:t>
      </w:r>
    </w:p>
    <w:p>
      <w:pPr>
        <w:rPr>
          <w:rFonts w:hint="eastAsia"/>
        </w:rPr>
      </w:pPr>
      <w:r>
        <w:rPr>
          <w:rFonts w:hint="eastAsia"/>
        </w:rPr>
        <w:br w:type="page"/>
      </w:r>
    </w:p>
    <w:p>
      <w:pPr>
        <w:pStyle w:val="7"/>
        <w:bidi w:val="0"/>
        <w:rPr>
          <w:rFonts w:hint="eastAsia"/>
        </w:rPr>
      </w:pPr>
      <w:r>
        <w:rPr>
          <w:rFonts w:hint="eastAsia"/>
        </w:rPr>
        <w:t>第五部分  附 件</w:t>
      </w:r>
    </w:p>
    <w:p>
      <w:pPr>
        <w:pStyle w:val="2"/>
        <w:bidi w:val="0"/>
        <w:rPr>
          <w:rFonts w:hint="eastAsia"/>
        </w:rPr>
      </w:pPr>
    </w:p>
    <w:p>
      <w:pPr>
        <w:pStyle w:val="2"/>
        <w:bidi w:val="0"/>
        <w:rPr>
          <w:rFonts w:hint="eastAsia"/>
        </w:rPr>
      </w:pPr>
      <w:r>
        <w:rPr>
          <w:rFonts w:hint="eastAsia"/>
        </w:rPr>
        <w:t>省妇联2024年度部门整体支出绩效自评报告（见附件）。</w:t>
      </w:r>
    </w:p>
    <w:p>
      <w:pPr>
        <w:pStyle w:val="2"/>
        <w:bidi w:val="0"/>
        <w:rPr>
          <w:rFonts w:hint="eastAsia"/>
        </w:rPr>
      </w:pPr>
    </w:p>
    <w:sectPr>
      <w:pgSz w:w="11906" w:h="16838"/>
      <w:pgMar w:top="2098" w:right="1531" w:bottom="1984" w:left="1531" w:header="851" w:footer="153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9FF81"/>
    <w:rsid w:val="034F4451"/>
    <w:rsid w:val="0373615A"/>
    <w:rsid w:val="06F33075"/>
    <w:rsid w:val="0E273169"/>
    <w:rsid w:val="153D1E15"/>
    <w:rsid w:val="15567A65"/>
    <w:rsid w:val="173A5259"/>
    <w:rsid w:val="1FBB536B"/>
    <w:rsid w:val="22601C08"/>
    <w:rsid w:val="24C06999"/>
    <w:rsid w:val="2AED2DDC"/>
    <w:rsid w:val="2FCD71AB"/>
    <w:rsid w:val="31D660C8"/>
    <w:rsid w:val="359C1D54"/>
    <w:rsid w:val="3A2E012B"/>
    <w:rsid w:val="3F8D4DEA"/>
    <w:rsid w:val="4EA0792A"/>
    <w:rsid w:val="545E3171"/>
    <w:rsid w:val="55E838A7"/>
    <w:rsid w:val="5845637C"/>
    <w:rsid w:val="5BBD6BEA"/>
    <w:rsid w:val="5EEBF1DF"/>
    <w:rsid w:val="7DFF60B7"/>
    <w:rsid w:val="7EFF022C"/>
    <w:rsid w:val="7FA9FF81"/>
    <w:rsid w:val="7FEF7931"/>
    <w:rsid w:val="8EFDEB8C"/>
    <w:rsid w:val="9F93F68A"/>
    <w:rsid w:val="B36939B1"/>
    <w:rsid w:val="BFAB196E"/>
    <w:rsid w:val="BFCF0452"/>
    <w:rsid w:val="D1785477"/>
    <w:rsid w:val="D7DEE3B1"/>
    <w:rsid w:val="DEEF3752"/>
    <w:rsid w:val="E8FDB9E0"/>
    <w:rsid w:val="F4DD3AE0"/>
    <w:rsid w:val="F5FFB5C0"/>
    <w:rsid w:val="F7DF5765"/>
    <w:rsid w:val="FBF3CDFE"/>
    <w:rsid w:val="FDFFE90D"/>
    <w:rsid w:val="FF7FFEBC"/>
    <w:rsid w:val="FFDAA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640" w:firstLineChars="200"/>
    </w:pPr>
  </w:style>
  <w:style w:type="paragraph" w:styleId="3">
    <w:name w:val="footer"/>
    <w:basedOn w:val="1"/>
    <w:qFormat/>
    <w:uiPriority w:val="0"/>
    <w:pPr>
      <w:tabs>
        <w:tab w:val="center" w:pos="4153"/>
        <w:tab w:val="right" w:pos="8306"/>
      </w:tabs>
      <w:snapToGrid/>
      <w:spacing w:line="240" w:lineRule="auto"/>
      <w:jc w:val="left"/>
    </w:pPr>
    <w:rPr>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0.0 大标题"/>
    <w:basedOn w:val="1"/>
    <w:next w:val="1"/>
    <w:qFormat/>
    <w:uiPriority w:val="0"/>
    <w:pPr>
      <w:spacing w:line="700" w:lineRule="exact"/>
      <w:jc w:val="center"/>
    </w:pPr>
    <w:rPr>
      <w:rFonts w:eastAsia="方正小标宋_GBK"/>
      <w:sz w:val="44"/>
    </w:rPr>
  </w:style>
  <w:style w:type="paragraph" w:customStyle="1" w:styleId="8">
    <w:name w:val="0.1 小标题"/>
    <w:basedOn w:val="1"/>
    <w:qFormat/>
    <w:uiPriority w:val="0"/>
    <w:pPr>
      <w:jc w:val="center"/>
    </w:pPr>
    <w:rPr>
      <w:rFonts w:eastAsia="方正楷体_GBK"/>
    </w:rPr>
  </w:style>
  <w:style w:type="paragraph" w:customStyle="1" w:styleId="9">
    <w:name w:val="0.2 黑体小标题"/>
    <w:basedOn w:val="1"/>
    <w:qFormat/>
    <w:uiPriority w:val="0"/>
    <w:pPr>
      <w:jc w:val="center"/>
    </w:pPr>
    <w:rPr>
      <w:rFonts w:eastAsia="方正黑体_GBK"/>
    </w:rPr>
  </w:style>
  <w:style w:type="paragraph" w:customStyle="1" w:styleId="10">
    <w:name w:val="2.0 二级标题"/>
    <w:basedOn w:val="2"/>
    <w:next w:val="2"/>
    <w:qFormat/>
    <w:uiPriority w:val="0"/>
    <w:rPr>
      <w:rFonts w:eastAsia="方正楷体_GBK"/>
    </w:rPr>
  </w:style>
  <w:style w:type="paragraph" w:customStyle="1" w:styleId="11">
    <w:name w:val="3.0 三级标题"/>
    <w:basedOn w:val="2"/>
    <w:next w:val="2"/>
    <w:link w:val="15"/>
    <w:qFormat/>
    <w:uiPriority w:val="0"/>
    <w:rPr>
      <w:b/>
    </w:rPr>
  </w:style>
  <w:style w:type="paragraph" w:customStyle="1" w:styleId="12">
    <w:name w:val="z.1 落款单位"/>
    <w:basedOn w:val="1"/>
    <w:next w:val="1"/>
    <w:qFormat/>
    <w:uiPriority w:val="0"/>
    <w:pPr>
      <w:ind w:right="640" w:rightChars="200"/>
      <w:jc w:val="right"/>
    </w:pPr>
  </w:style>
  <w:style w:type="paragraph" w:customStyle="1" w:styleId="13">
    <w:name w:val="z.2 落款时间"/>
    <w:basedOn w:val="1"/>
    <w:next w:val="1"/>
    <w:qFormat/>
    <w:uiPriority w:val="0"/>
    <w:pPr>
      <w:ind w:right="1280" w:rightChars="400"/>
      <w:jc w:val="right"/>
    </w:pPr>
  </w:style>
  <w:style w:type="paragraph" w:customStyle="1" w:styleId="14">
    <w:name w:val="1.0 一级标题"/>
    <w:basedOn w:val="2"/>
    <w:next w:val="2"/>
    <w:qFormat/>
    <w:uiPriority w:val="0"/>
    <w:rPr>
      <w:rFonts w:eastAsia="方正黑体_GBK"/>
    </w:rPr>
  </w:style>
  <w:style w:type="character" w:customStyle="1" w:styleId="15">
    <w:name w:val="3.0 三级标题 Char"/>
    <w:link w:val="1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2025-09-29T09:25:00Z</dcterms:created>
  <dc:creator>胡佳佳</dc:creator>
  <cp:lastModifiedBy>胡佳佳</cp:lastModifiedBy>
  <dcterms:modified xsi:type="dcterms:W3CDTF">2025-09-29T10:36:06Z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EF1395C53DA2433B9DFAC06C0B1292FE</vt:lpwstr>
  </property>
</Properties>
</file>