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    B类</w:t>
      </w:r>
    </w:p>
    <w:p>
      <w:pPr>
        <w:spacing w:line="580" w:lineRule="exact"/>
        <w:ind w:firstLine="7360" w:firstLineChars="230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公开</w:t>
      </w:r>
    </w:p>
    <w:p>
      <w:pPr>
        <w:spacing w:line="58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eastAsia="方正小标宋简体" w:cs="Times New Roman"/>
          <w:color w:val="FF0000"/>
          <w:w w:val="80"/>
        </w:rPr>
      </w:pPr>
      <w:r>
        <w:rPr>
          <w:rFonts w:hint="eastAsia" w:ascii="方正小标宋简体" w:eastAsia="方正小标宋简体" w:cs="方正小标宋简体"/>
          <w:color w:val="FF0000"/>
          <w:spacing w:val="1"/>
          <w:w w:val="87"/>
          <w:kern w:val="0"/>
          <w:sz w:val="95"/>
          <w:szCs w:val="95"/>
          <w:fitText w:val="8327" w:id="2096330395"/>
        </w:rPr>
        <w:t>湖南省妇女联合会文</w:t>
      </w:r>
      <w:r>
        <w:rPr>
          <w:rFonts w:hint="eastAsia" w:ascii="方正小标宋简体" w:eastAsia="方正小标宋简体" w:cs="方正小标宋简体"/>
          <w:color w:val="FF0000"/>
          <w:spacing w:val="54"/>
          <w:w w:val="87"/>
          <w:kern w:val="0"/>
          <w:sz w:val="95"/>
          <w:szCs w:val="95"/>
          <w:fitText w:val="8327" w:id="2096330395"/>
        </w:rPr>
        <w:t>件</w:t>
      </w:r>
    </w:p>
    <w:p>
      <w:pPr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pict>
          <v:line id="_x0000_s1026" o:spid="_x0000_s1026" o:spt="20" style="position:absolute;left:0pt;margin-left:-9pt;margin-top:43.6pt;height:0pt;width:459pt;z-index:251658240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hint="eastAsia" w:ascii="Times New Roman" w:hAnsi="Times New Roman" w:eastAsia="楷体" w:cs="楷体"/>
          <w:sz w:val="32"/>
          <w:szCs w:val="32"/>
        </w:rPr>
        <w:t>湘妇复〔</w:t>
      </w:r>
      <w:r>
        <w:rPr>
          <w:rFonts w:ascii="Times New Roman" w:hAnsi="Times New Roman" w:eastAsia="楷体" w:cs="Times New Roman"/>
          <w:sz w:val="32"/>
          <w:szCs w:val="32"/>
        </w:rPr>
        <w:t>2021</w:t>
      </w:r>
      <w:r>
        <w:rPr>
          <w:rFonts w:hint="eastAsia" w:ascii="Times New Roman" w:hAnsi="Times New Roman" w:eastAsia="楷体" w:cs="楷体"/>
          <w:sz w:val="32"/>
          <w:szCs w:val="32"/>
        </w:rPr>
        <w:t>〕</w:t>
      </w:r>
      <w:r>
        <w:rPr>
          <w:rFonts w:hint="eastAsia" w:eastAsia="楷体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楷体" w:cs="楷体"/>
          <w:sz w:val="32"/>
          <w:szCs w:val="32"/>
        </w:rPr>
        <w:t>号</w:t>
      </w:r>
      <w:r>
        <w:rPr>
          <w:rFonts w:ascii="Times New Roman" w:hAnsi="Times New Roman" w:eastAsia="楷体" w:cs="Times New Roman"/>
          <w:sz w:val="32"/>
          <w:szCs w:val="32"/>
        </w:rPr>
        <w:t xml:space="preserve"> </w:t>
      </w:r>
    </w:p>
    <w:p>
      <w:pPr>
        <w:spacing w:line="5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对省政协十二届四次会议第</w:t>
      </w:r>
      <w:r>
        <w:rPr>
          <w:rFonts w:ascii="Times New Roman" w:hAnsi="Times New Roman" w:eastAsia="方正小标宋简体" w:cs="Times New Roman"/>
          <w:sz w:val="44"/>
          <w:szCs w:val="44"/>
        </w:rPr>
        <w:t>0413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号提案的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会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办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意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见</w:t>
      </w:r>
    </w:p>
    <w:p>
      <w:pPr>
        <w:spacing w:line="56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省卫生健康委：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收到文方委员提出的《关于改善和优化公共场所母婴设施建设的建议》（第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0413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号）建议后，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我会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高度重视，进行了认真学习研究，结合妇联职能和工作实际，现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回复如下：</w:t>
      </w:r>
    </w:p>
    <w:p>
      <w:pPr>
        <w:numPr>
          <w:ilvl w:val="0"/>
          <w:numId w:val="1"/>
        </w:numPr>
        <w:tabs>
          <w:tab w:val="left" w:pos="474"/>
        </w:tabs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近期工作开展情况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近年来，在省委省政府的高度重视下，省妇联不断推动</w:t>
      </w:r>
      <w:r>
        <w:rPr>
          <w:rFonts w:hint="eastAsia" w:ascii="Times New Roman" w:hAnsi="Times New Roman" w:eastAsia="仿宋_GB2312" w:cs="仿宋_GB2312"/>
          <w:color w:val="000000"/>
          <w:sz w:val="31"/>
          <w:szCs w:val="31"/>
        </w:rPr>
        <w:t>妇女儿童法规政策出台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>ECD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项目点阵地建设为示范，</w:t>
      </w:r>
      <w:r>
        <w:rPr>
          <w:rFonts w:hint="eastAsia" w:ascii="Times New Roman" w:hAnsi="Times New Roman" w:eastAsia="仿宋" w:cs="仿宋"/>
          <w:kern w:val="2"/>
          <w:sz w:val="32"/>
          <w:szCs w:val="32"/>
        </w:rPr>
        <w:t>加快推动社区儿童之家、家长学校、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儿童早期发展基地</w:t>
      </w:r>
      <w:r>
        <w:rPr>
          <w:rFonts w:hint="eastAsia" w:ascii="Times New Roman" w:hAnsi="Times New Roman" w:eastAsia="仿宋" w:cs="仿宋"/>
          <w:kern w:val="2"/>
          <w:sz w:val="32"/>
          <w:szCs w:val="32"/>
        </w:rPr>
        <w:t>等阵地的建设，植入</w:t>
      </w:r>
      <w:r>
        <w:rPr>
          <w:rFonts w:ascii="Times New Roman" w:hAnsi="Times New Roman" w:eastAsia="仿宋_GB2312" w:cs="Times New Roman"/>
          <w:sz w:val="32"/>
          <w:szCs w:val="32"/>
        </w:rPr>
        <w:t>ECD</w:t>
      </w:r>
      <w:r>
        <w:rPr>
          <w:rFonts w:hint="eastAsia" w:ascii="Times New Roman" w:hAnsi="Times New Roman" w:eastAsia="仿宋" w:cs="仿宋"/>
          <w:kern w:val="2"/>
          <w:sz w:val="32"/>
          <w:szCs w:val="32"/>
        </w:rPr>
        <w:t>科学理念，完善儿童早期发展家庭教育指导服务功能，传播科学喂养、照护和早教的知识和技能，实现阵地共建、资源共享，惠及广大家庭和婴幼儿。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主要做了以下工作：</w:t>
      </w:r>
    </w:p>
    <w:p>
      <w:pPr>
        <w:pStyle w:val="7"/>
        <w:numPr>
          <w:ilvl w:val="0"/>
          <w:numId w:val="2"/>
        </w:numPr>
        <w:spacing w:before="0" w:beforeAutospacing="0" w:after="0" w:afterAutospacing="0" w:line="600" w:lineRule="exact"/>
        <w:ind w:firstLine="622" w:firstLineChars="200"/>
        <w:jc w:val="both"/>
        <w:rPr>
          <w:rFonts w:ascii="Times New Roman" w:hAnsi="Times New Roman" w:eastAsia="仿宋_GB2312" w:cs="Times New Roman"/>
          <w:b/>
          <w:bCs/>
          <w:color w:val="000000"/>
          <w:w w:val="97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w w:val="97"/>
          <w:sz w:val="32"/>
          <w:szCs w:val="32"/>
        </w:rPr>
        <w:t>源头推动婴幼儿科学养育照护</w:t>
      </w:r>
    </w:p>
    <w:p>
      <w:pPr>
        <w:pStyle w:val="7"/>
        <w:spacing w:before="0" w:beforeAutospacing="0" w:after="0" w:afterAutospacing="0" w:line="600" w:lineRule="exact"/>
        <w:ind w:firstLine="629" w:firstLineChars="196"/>
        <w:jc w:val="both"/>
        <w:rPr>
          <w:rFonts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楷体" w:cs="楷体"/>
          <w:b/>
          <w:bCs/>
          <w:sz w:val="32"/>
          <w:szCs w:val="32"/>
        </w:rPr>
        <w:t>．成功推动家庭教育地方立法。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坚持立德树人，引导全社会注重家庭家教家风，保障未成年人健康成长，增进家庭幸福与社会和谐，联合起草、推动《湖南省家庭教育促进条例》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日施行。《条例》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规定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县级以上人民政府卫生健康部门应当开展婴幼儿早期发展宣传指导，进行未成年人性与生殖健康科普教育，督促医疗卫生机构做好父母科学养育指导和家庭心理健康辅导，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用法治的力量保障和促进婴幼儿科学养育照护。</w:t>
      </w:r>
    </w:p>
    <w:p>
      <w:pPr>
        <w:pStyle w:val="7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2</w:t>
      </w:r>
      <w:r>
        <w:rPr>
          <w:rFonts w:hint="eastAsia" w:ascii="Times New Roman" w:hAnsi="楷体" w:eastAsia="楷体" w:cs="楷体"/>
          <w:sz w:val="32"/>
          <w:szCs w:val="32"/>
        </w:rPr>
        <w:t>．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聚力推动相关政策出台。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财政厅将儿童早期教育、母亲课堂、托幼工作指导、家庭文化和教育服务等纳入政府购买服务目录。联合省民政厅、省委组织部、省财政厅、省教育厅出台《关于进一步加强村级儿童之家建设和管理工作的通知》，将村（社区）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儿童之家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建设和管理纳入各级党委政府乡村振兴战略实绩考核，加大人员配备和财政保障，切实改善农村儿童的生存、安全、发展环境。</w:t>
      </w:r>
    </w:p>
    <w:p>
      <w:pPr>
        <w:pStyle w:val="7"/>
        <w:spacing w:before="0" w:beforeAutospacing="0" w:after="0" w:afterAutospacing="0" w:line="600" w:lineRule="exact"/>
        <w:ind w:firstLine="642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3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．推动建立家庭教育工作联席会议制度。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省、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个市州、部分县市区先后成立家庭教育工作联席会议制度，将儿童早期教育纳入全省家庭教育、留守儿童关爱、卫生保健等工作，明确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卫生健康部门牵头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开展父母科学养育指导和家庭心理健康教育活动，保障未成年人身心健康发展；宣传普及优生优育和妇幼保健，针对家庭开展儿童早期发展和健康教育工作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，构建了我省部门联动、上下齐抓的家庭教育工作新机制。</w:t>
      </w:r>
    </w:p>
    <w:p>
      <w:pPr>
        <w:pStyle w:val="7"/>
        <w:spacing w:before="0" w:beforeAutospacing="0" w:after="0" w:afterAutospacing="0" w:line="600" w:lineRule="exact"/>
        <w:ind w:firstLine="642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（二）创新开展</w:t>
      </w:r>
      <w:r>
        <w:rPr>
          <w:rFonts w:hint="eastAsia" w:ascii="Times New Roman" w:hAnsi="Times New Roman" w:eastAsia="仿宋_GB2312" w:cs="仿宋_GB2312"/>
          <w:b/>
          <w:bCs/>
          <w:color w:val="000000"/>
          <w:w w:val="97"/>
          <w:sz w:val="32"/>
          <w:szCs w:val="32"/>
        </w:rPr>
        <w:t>婴幼儿科学养育照护指导服务</w:t>
      </w:r>
    </w:p>
    <w:p>
      <w:pPr>
        <w:spacing w:line="600" w:lineRule="exact"/>
        <w:ind w:firstLine="642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000000"/>
          <w:sz w:val="32"/>
          <w:szCs w:val="32"/>
        </w:rPr>
        <w:t>1</w:t>
      </w:r>
      <w:r>
        <w:rPr>
          <w:rFonts w:hint="eastAsia" w:ascii="Times New Roman" w:hAnsi="楷体" w:eastAsia="楷体" w:cs="楷体"/>
          <w:b/>
          <w:bCs/>
          <w:color w:val="000000"/>
          <w:sz w:val="32"/>
          <w:szCs w:val="32"/>
        </w:rPr>
        <w:t>．高标准打造活动阵地。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积极引进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ECD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项目点，严格按照联合国儿基会的要求，对项目点进行了规范化配置，做到设施齐全、环境温馨、优质服务，成为了全省在打造儿童早期发展家庭教育指导服务阵地的样板，探索全省儿童早期发展家庭教育社区家庭支持可复制可推广的模板。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聚力打造实体阵地。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截止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月，建立城市社区家长学校或家庭教育指导服务站点</w:t>
      </w:r>
      <w:r>
        <w:rPr>
          <w:rFonts w:ascii="Times New Roman" w:hAnsi="Times New Roman" w:eastAsia="仿宋_GB2312" w:cs="Times New Roman"/>
          <w:sz w:val="32"/>
          <w:szCs w:val="32"/>
        </w:rPr>
        <w:t>4107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个，建成率</w:t>
      </w:r>
      <w:r>
        <w:rPr>
          <w:rFonts w:ascii="Times New Roman" w:hAnsi="Times New Roman" w:eastAsia="仿宋_GB2312" w:cs="Times New Roman"/>
          <w:sz w:val="32"/>
          <w:szCs w:val="32"/>
        </w:rPr>
        <w:t>92.6%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；建成农村社区（村）家长学校或家庭教育指导服务站点</w:t>
      </w:r>
      <w:r>
        <w:rPr>
          <w:rFonts w:ascii="Times New Roman" w:hAnsi="Times New Roman" w:eastAsia="仿宋_GB2312" w:cs="Times New Roman"/>
          <w:sz w:val="32"/>
          <w:szCs w:val="32"/>
        </w:rPr>
        <w:t>19490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个，建成率达到</w:t>
      </w:r>
      <w:r>
        <w:rPr>
          <w:rFonts w:ascii="Times New Roman" w:hAnsi="Times New Roman" w:eastAsia="仿宋_GB2312" w:cs="Times New Roman"/>
          <w:sz w:val="32"/>
          <w:szCs w:val="32"/>
        </w:rPr>
        <w:t>81.1%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创新搭建线上平台。联合湖南教育出版社共同打造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湖南省网上家长学校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，自主研发和整合资源，为全省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0-3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岁孩子父母提供系统性育儿课程，帮助家长解决婴幼期孩子教养难题。截至目前，婴幼儿段家长课程平均观看量达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811344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人次。我省有网上家长学校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916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个，搭建手机微信、短信等家庭教育新媒体服务平台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10992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个。</w:t>
      </w:r>
    </w:p>
    <w:p>
      <w:pPr>
        <w:spacing w:line="600" w:lineRule="exact"/>
        <w:ind w:firstLine="642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2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．高要求培育专业队伍。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精心选配队伍。以省家庭教育研究会为主体，吸纳健康、教育、法律、福利和社会环境等领域人才，选树一支多学科、有爱心的专家队伍，提供早期发展特色课程、主题亲子活动、家庭专业指导等服务；以公开招募、志愿报名、择优录取等方式，招募有育儿经验的爱心妈妈、社会工作师和心理咨询师，培育了一支人员结构稳定、综合素质较高、操作能力较强的志愿者队伍，在专业队伍的带动培养下，能够常态化的开展科学育儿活动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加强专业培训。邀请多名联合国儿童基金会资深官员、全国著名儿童专家在我省开展</w:t>
      </w:r>
      <w:r>
        <w:rPr>
          <w:rFonts w:ascii="Times New Roman" w:hAnsi="Times New Roman" w:eastAsia="仿宋_GB2312" w:cs="Times New Roman"/>
          <w:sz w:val="32"/>
          <w:szCs w:val="32"/>
        </w:rPr>
        <w:t>ECD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项目培训，培养了一批项目管理和授课的专业人才。同时，各地通过集中组织培训、举办在线课堂、送教下乡等活动，培训专家、志愿者</w:t>
      </w:r>
      <w:r>
        <w:rPr>
          <w:rFonts w:ascii="Times New Roman" w:hAnsi="Times New Roman" w:eastAsia="仿宋_GB2312" w:cs="Times New Roman"/>
          <w:sz w:val="32"/>
          <w:szCs w:val="32"/>
        </w:rPr>
        <w:t>1200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余人次。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做好日常监管。组织省级专家对项目点进行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地毯式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督导</w:t>
      </w:r>
      <w:r>
        <w:rPr>
          <w:rFonts w:ascii="Times New Roman" w:hAnsi="Times New Roman" w:eastAsia="仿宋_GB2312" w:cs="Times New Roman"/>
          <w:sz w:val="32"/>
          <w:szCs w:val="32"/>
        </w:rPr>
        <w:t>18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次，严格要求项目区县做到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四个一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，即一月一督促、一季一总结、半年一汇报、一年一评估。通过狠抓中心建设、活动组织、学习培训、宣传发动、管理督导等五个关键环节，各项目点均做到了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六化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，即项目运作科学化、环境创设标准化、中心管理制度化、活动开展专业化、档案管理规范化、家长参与常态化。</w:t>
      </w:r>
    </w:p>
    <w:p>
      <w:pPr>
        <w:spacing w:line="600" w:lineRule="exact"/>
        <w:ind w:firstLine="642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3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．高质量开展指导服务。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做实项目点活动。各项目点为</w:t>
      </w:r>
      <w:r>
        <w:rPr>
          <w:rFonts w:ascii="Times New Roman" w:hAnsi="Times New Roman" w:eastAsia="仿宋_GB2312" w:cs="Times New Roman"/>
          <w:sz w:val="32"/>
          <w:szCs w:val="32"/>
        </w:rPr>
        <w:t>0-3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岁儿童和看护人提供免费的综合服务。项目实施以来，每年平均开放</w:t>
      </w:r>
      <w:r>
        <w:rPr>
          <w:rFonts w:ascii="Times New Roman" w:hAnsi="Times New Roman" w:eastAsia="仿宋_GB2312" w:cs="Times New Roman"/>
          <w:sz w:val="32"/>
          <w:szCs w:val="32"/>
        </w:rPr>
        <w:t>240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余天，开展有组织的亲子活动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万余场、图书借阅</w:t>
      </w:r>
      <w:r>
        <w:rPr>
          <w:rFonts w:ascii="Times New Roman" w:hAnsi="Times New Roman" w:eastAsia="仿宋_GB2312" w:cs="Times New Roman"/>
          <w:sz w:val="32"/>
          <w:szCs w:val="32"/>
        </w:rPr>
        <w:t>9000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余次，服务对象的参与率超过</w:t>
      </w:r>
      <w:r>
        <w:rPr>
          <w:rFonts w:ascii="Times New Roman" w:hAnsi="Times New Roman" w:eastAsia="仿宋_GB2312" w:cs="Times New Roman"/>
          <w:sz w:val="32"/>
          <w:szCs w:val="32"/>
        </w:rPr>
        <w:t>95%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做响育儿宣传。实施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父母成长计划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，将科学育儿知识纳入全省孕妇学校和家长学校课程；联合省儿童医院编印《家长手册》《</w:t>
      </w:r>
      <w:r>
        <w:rPr>
          <w:rFonts w:ascii="Times New Roman" w:hAnsi="Times New Roman" w:eastAsia="仿宋_GB2312" w:cs="Times New Roman"/>
          <w:sz w:val="32"/>
          <w:szCs w:val="32"/>
        </w:rPr>
        <w:t>0-3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岁儿童家庭教育读本》等早教书籍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本，免费发放</w:t>
      </w:r>
      <w:r>
        <w:rPr>
          <w:rFonts w:ascii="Times New Roman" w:hAnsi="Times New Roman" w:eastAsia="仿宋_GB2312" w:cs="Times New Roman"/>
          <w:sz w:val="32"/>
          <w:szCs w:val="32"/>
        </w:rPr>
        <w:t>40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多万册；联合今日女报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仿宋_GB2312"/>
          <w:sz w:val="32"/>
          <w:szCs w:val="32"/>
        </w:rPr>
        <w:t>凤网传媒，刊发专题报道上百篇；选派儿童保健医生，或各类幼儿园中有一定教学经验、具备育婴师资格的育婴师讲授</w:t>
      </w:r>
      <w:r>
        <w:rPr>
          <w:rFonts w:ascii="Times New Roman" w:hAnsi="Times New Roman" w:eastAsia="仿宋_GB2312" w:cs="Times New Roman"/>
          <w:sz w:val="32"/>
          <w:szCs w:val="32"/>
        </w:rPr>
        <w:t>0-3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岁儿童的发展特点和规律、营养和喂养、常见疾病及其预防、亲子互动等；利用信息亭资源、手机短信平台、微信公众号等传播渠道进行广泛宣传。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实施项目化运作。推动构建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政府买单、妇联指导、专业服务、居民受益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的儿童早期发展家庭教育社区家庭支持机制和发展模式，采用政府购买的形式与社会组织合作，促进儿童早期发展。</w:t>
      </w:r>
    </w:p>
    <w:p>
      <w:pPr>
        <w:widowControl w:val="0"/>
        <w:pBdr>
          <w:bottom w:val="single" w:color="FFFFFF" w:sz="4" w:space="30"/>
        </w:pBdr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二、下一步工作安排</w:t>
      </w:r>
    </w:p>
    <w:p>
      <w:pPr>
        <w:widowControl w:val="0"/>
        <w:pBdr>
          <w:bottom w:val="single" w:color="FFFFFF" w:sz="4" w:space="30"/>
        </w:pBd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尽管全省各级妇联整合各</w:t>
      </w:r>
      <w:r>
        <w:rPr>
          <w:rFonts w:hint="eastAsia" w:ascii="Times New Roman" w:hAnsi="Times New Roman" w:eastAsia="仿宋_GB2312" w:cs="仿宋_GB2312"/>
          <w:w w:val="98"/>
          <w:sz w:val="32"/>
          <w:szCs w:val="32"/>
        </w:rPr>
        <w:t>方资源，在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动员和支持社会力量参与未成年人关爱保护工作</w:t>
      </w:r>
      <w:r>
        <w:rPr>
          <w:rFonts w:hint="eastAsia" w:ascii="Times New Roman" w:hAnsi="Times New Roman" w:eastAsia="仿宋_GB2312" w:cs="仿宋_GB2312"/>
          <w:w w:val="98"/>
          <w:sz w:val="32"/>
          <w:szCs w:val="32"/>
        </w:rPr>
        <w:t>上开展了大量工作，但离组织的要求、群众的期盼还有一定的差距。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下一阶段，在吸纳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文方委员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建议的基础上，我们将重点开展以下工作：</w:t>
      </w:r>
    </w:p>
    <w:p>
      <w:pPr>
        <w:widowControl w:val="0"/>
        <w:pBdr>
          <w:bottom w:val="single" w:color="FFFFFF" w:sz="4" w:space="30"/>
        </w:pBdr>
        <w:spacing w:line="600" w:lineRule="exact"/>
        <w:ind w:firstLine="64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楷体" w:cs="Times New Roman"/>
          <w:sz w:val="32"/>
          <w:szCs w:val="32"/>
        </w:rPr>
        <w:t>1</w:t>
      </w:r>
      <w:r>
        <w:rPr>
          <w:rFonts w:hint="eastAsia" w:ascii="Times New Roman" w:hAnsi="楷体" w:eastAsia="楷体" w:cs="楷体"/>
          <w:sz w:val="32"/>
          <w:szCs w:val="32"/>
        </w:rPr>
        <w:t>．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聚力宣传贯彻《条例》。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推动妇儿工委发挥组织、协调、指导、督促的作用，发挥家庭教育工作联席会议制度优势，</w:t>
      </w:r>
      <w:r>
        <w:rPr>
          <w:rFonts w:hint="eastAsia" w:ascii="Times New Roman" w:hAnsi="Times New Roman" w:eastAsia="仿宋" w:cs="仿宋"/>
          <w:sz w:val="32"/>
          <w:szCs w:val="32"/>
          <w:shd w:val="clear" w:color="auto" w:fill="FFFFFF"/>
        </w:rPr>
        <w:t>进一步推动有关部门和单位积极履职。深入机关、企业、学校、农村、社区开展《湖南省家庭教育促进条例》宣传，联合开展《条例》执法调研，发现一批、宣传一批宣传贯彻《条例》先进典型，推动《条例》贯彻落实，引导和促进社会力量参与未成年人关爱保护工作。</w:t>
      </w:r>
    </w:p>
    <w:p>
      <w:pPr>
        <w:widowControl w:val="0"/>
        <w:pBdr>
          <w:bottom w:val="single" w:color="FFFFFF" w:sz="4" w:space="30"/>
        </w:pBdr>
        <w:spacing w:line="600" w:lineRule="exact"/>
        <w:ind w:firstLine="64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楷体" w:eastAsia="楷体" w:cs="楷体"/>
          <w:sz w:val="32"/>
          <w:szCs w:val="32"/>
          <w:shd w:val="clear" w:color="auto" w:fill="FFFFFF"/>
        </w:rPr>
        <w:t>．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持续做好婴幼儿科学养育照护指导服务。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继续实施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父母成长计划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，组织家庭教育金牌讲师、志愿者，开展家庭教育公益巡讲，推动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湖南省网上家长学校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进社区、进家庭，做实线上线下对婴幼儿科学养育照护指导服务。</w:t>
      </w:r>
    </w:p>
    <w:p>
      <w:pPr>
        <w:widowControl w:val="0"/>
        <w:pBdr>
          <w:bottom w:val="single" w:color="FFFFFF" w:sz="4" w:space="30"/>
        </w:pBdr>
        <w:autoSpaceDE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3</w:t>
      </w:r>
      <w:r>
        <w:rPr>
          <w:rFonts w:hint="eastAsia" w:ascii="Times New Roman" w:hAnsi="楷体" w:eastAsia="楷体" w:cs="楷体"/>
          <w:sz w:val="32"/>
          <w:szCs w:val="32"/>
        </w:rPr>
        <w:t>．</w:t>
      </w:r>
      <w:r>
        <w:rPr>
          <w:rFonts w:hint="eastAsia" w:ascii="Times New Roman" w:hAnsi="楷体" w:eastAsia="楷体" w:cs="楷体"/>
          <w:b/>
          <w:bCs/>
          <w:sz w:val="32"/>
          <w:szCs w:val="32"/>
        </w:rPr>
        <w:t>大力推动改善和优化公共场所母婴设施建设工作。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积极争取人大代表、政协委员以及社会各界的支持，为改善和优化公共场所母婴设施建设发声，动员各级妇联组织参与到改善和优化公共场所母婴设施建设，营造全社会关心公共场所母婴设施建设的浓厚氛围。</w:t>
      </w:r>
    </w:p>
    <w:p>
      <w:pPr>
        <w:widowControl w:val="0"/>
        <w:pBdr>
          <w:bottom w:val="single" w:color="FFFFFF" w:sz="4" w:space="30"/>
        </w:pBdr>
        <w:autoSpaceDE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以上意见供你单位统一答复提案者时参考。</w:t>
      </w:r>
    </w:p>
    <w:p>
      <w:pPr>
        <w:spacing w:line="6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5440" w:firstLineChars="17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湖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南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妇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</w:t>
      </w:r>
    </w:p>
    <w:p>
      <w:pPr>
        <w:spacing w:line="600" w:lineRule="exact"/>
        <w:ind w:firstLine="6080" w:firstLineChars="19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pStyle w:val="6"/>
        <w:spacing w:line="560" w:lineRule="exact"/>
        <w:rPr>
          <w:rFonts w:ascii="Times New Roman" w:hAnsi="Times New Roman" w:cs="Times New Roman"/>
        </w:rPr>
      </w:pPr>
    </w:p>
    <w:p>
      <w:pPr>
        <w:rPr>
          <w:rFonts w:cs="Times New Roman"/>
        </w:rPr>
      </w:pPr>
    </w:p>
    <w:p>
      <w:pPr>
        <w:pStyle w:val="6"/>
        <w:rPr>
          <w:rFonts w:cs="Times New Roman"/>
        </w:rPr>
      </w:pPr>
      <w:bookmarkStart w:id="0" w:name="_GoBack"/>
      <w:bookmarkEnd w:id="0"/>
    </w:p>
    <w:p>
      <w:pPr>
        <w:rPr>
          <w:rFonts w:cs="Times New Roma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联系人姓名、职务：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付瑞芳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省妇联家儿部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二级调研员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0731-82689019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联系地址：省委七办公楼省妇联    邮政编码：410011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600" w:lineRule="exact"/>
        <w:rPr>
          <w:rFonts w:hint="default" w:cs="Times New Roman"/>
          <w:lang w:val="en-US" w:eastAsia="zh-CN"/>
        </w:rPr>
      </w:pPr>
      <w:r>
        <w:rPr>
          <w:rFonts w:hint="eastAsia" w:ascii="仿宋_GB2312" w:eastAsia="仿宋_GB2312"/>
          <w:sz w:val="32"/>
        </w:rPr>
        <w:t>抄送：省政府办公厅（2），省政协提案委（2）</w:t>
      </w:r>
    </w:p>
    <w:p>
      <w:pPr>
        <w:pStyle w:val="2"/>
        <w:ind w:left="31680" w:firstLine="31680"/>
        <w:rPr>
          <w:rFonts w:hint="default" w:cs="Times New Roman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outside" w:y="1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5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>
    <w:pPr>
      <w:pStyle w:val="5"/>
      <w:ind w:right="360" w:firstLine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8DB3F"/>
    <w:multiLevelType w:val="singleLevel"/>
    <w:tmpl w:val="B7F8DB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8C609FB"/>
    <w:multiLevelType w:val="singleLevel"/>
    <w:tmpl w:val="B8C609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493"/>
    <w:rsid w:val="0003489B"/>
    <w:rsid w:val="000B170B"/>
    <w:rsid w:val="000B5E36"/>
    <w:rsid w:val="00103E9B"/>
    <w:rsid w:val="001A521D"/>
    <w:rsid w:val="00240932"/>
    <w:rsid w:val="00254544"/>
    <w:rsid w:val="002B6B86"/>
    <w:rsid w:val="00307863"/>
    <w:rsid w:val="004C530C"/>
    <w:rsid w:val="00521E3D"/>
    <w:rsid w:val="005A1576"/>
    <w:rsid w:val="005D1150"/>
    <w:rsid w:val="0061233E"/>
    <w:rsid w:val="006853C1"/>
    <w:rsid w:val="00731D1D"/>
    <w:rsid w:val="007412E8"/>
    <w:rsid w:val="007A7F3D"/>
    <w:rsid w:val="007B504B"/>
    <w:rsid w:val="007C464D"/>
    <w:rsid w:val="00806A7D"/>
    <w:rsid w:val="00831812"/>
    <w:rsid w:val="00897ACE"/>
    <w:rsid w:val="008A4AF1"/>
    <w:rsid w:val="00931EDD"/>
    <w:rsid w:val="00974E7C"/>
    <w:rsid w:val="009D6679"/>
    <w:rsid w:val="00A07C03"/>
    <w:rsid w:val="00A45114"/>
    <w:rsid w:val="00A457E9"/>
    <w:rsid w:val="00AE76DD"/>
    <w:rsid w:val="00B125D9"/>
    <w:rsid w:val="00BB2775"/>
    <w:rsid w:val="00C37E3E"/>
    <w:rsid w:val="00DC602F"/>
    <w:rsid w:val="00E45507"/>
    <w:rsid w:val="00ED1493"/>
    <w:rsid w:val="00F32A1C"/>
    <w:rsid w:val="00F82CDE"/>
    <w:rsid w:val="00F84044"/>
    <w:rsid w:val="022B68D6"/>
    <w:rsid w:val="02B05836"/>
    <w:rsid w:val="02B1349C"/>
    <w:rsid w:val="03A81BA9"/>
    <w:rsid w:val="053D3B96"/>
    <w:rsid w:val="05B85F35"/>
    <w:rsid w:val="082016B3"/>
    <w:rsid w:val="09B70D21"/>
    <w:rsid w:val="0B133722"/>
    <w:rsid w:val="0B1B25DA"/>
    <w:rsid w:val="0B25347B"/>
    <w:rsid w:val="0C9E05BA"/>
    <w:rsid w:val="0D082B98"/>
    <w:rsid w:val="0DA349AF"/>
    <w:rsid w:val="0E6719B9"/>
    <w:rsid w:val="0F395B29"/>
    <w:rsid w:val="10547FA8"/>
    <w:rsid w:val="109C3E35"/>
    <w:rsid w:val="111668F1"/>
    <w:rsid w:val="13BE2851"/>
    <w:rsid w:val="152A7356"/>
    <w:rsid w:val="154A5F31"/>
    <w:rsid w:val="15527647"/>
    <w:rsid w:val="170416EB"/>
    <w:rsid w:val="17466D08"/>
    <w:rsid w:val="175A4109"/>
    <w:rsid w:val="181A5AA8"/>
    <w:rsid w:val="184F7BEF"/>
    <w:rsid w:val="18C40007"/>
    <w:rsid w:val="1CFC4704"/>
    <w:rsid w:val="1E32327F"/>
    <w:rsid w:val="1EDF0282"/>
    <w:rsid w:val="1F5F0844"/>
    <w:rsid w:val="2100418A"/>
    <w:rsid w:val="226A658D"/>
    <w:rsid w:val="22A02B32"/>
    <w:rsid w:val="23A3454A"/>
    <w:rsid w:val="23DE4F39"/>
    <w:rsid w:val="25012F15"/>
    <w:rsid w:val="25A54870"/>
    <w:rsid w:val="26722192"/>
    <w:rsid w:val="26DD52E3"/>
    <w:rsid w:val="26FD1E84"/>
    <w:rsid w:val="275C48D7"/>
    <w:rsid w:val="27E00F07"/>
    <w:rsid w:val="283E6704"/>
    <w:rsid w:val="28AD6174"/>
    <w:rsid w:val="2BB25FF3"/>
    <w:rsid w:val="2BEC63CC"/>
    <w:rsid w:val="2C146A4B"/>
    <w:rsid w:val="2C416EFE"/>
    <w:rsid w:val="2C576617"/>
    <w:rsid w:val="2E9D3882"/>
    <w:rsid w:val="2ED7606B"/>
    <w:rsid w:val="2EDF3AC8"/>
    <w:rsid w:val="2F7C1DDF"/>
    <w:rsid w:val="323A79AA"/>
    <w:rsid w:val="32ED0F32"/>
    <w:rsid w:val="32F9194A"/>
    <w:rsid w:val="331F5AD7"/>
    <w:rsid w:val="33D8300F"/>
    <w:rsid w:val="37874B71"/>
    <w:rsid w:val="385103D7"/>
    <w:rsid w:val="39395D3A"/>
    <w:rsid w:val="3AB120E1"/>
    <w:rsid w:val="3AD33345"/>
    <w:rsid w:val="3B767304"/>
    <w:rsid w:val="3ECD64BD"/>
    <w:rsid w:val="3FC3371D"/>
    <w:rsid w:val="3FC40DD7"/>
    <w:rsid w:val="40122073"/>
    <w:rsid w:val="44B63B8C"/>
    <w:rsid w:val="4625781C"/>
    <w:rsid w:val="46A46E85"/>
    <w:rsid w:val="47DA0D1D"/>
    <w:rsid w:val="48512CC1"/>
    <w:rsid w:val="48A973F9"/>
    <w:rsid w:val="4B7B02DA"/>
    <w:rsid w:val="4C2A6DA9"/>
    <w:rsid w:val="4C765878"/>
    <w:rsid w:val="4CD92742"/>
    <w:rsid w:val="4DA647ED"/>
    <w:rsid w:val="4E873CC3"/>
    <w:rsid w:val="4EF34F7C"/>
    <w:rsid w:val="50346916"/>
    <w:rsid w:val="50624725"/>
    <w:rsid w:val="50C76A3E"/>
    <w:rsid w:val="520508F6"/>
    <w:rsid w:val="52F41C0B"/>
    <w:rsid w:val="546A49C7"/>
    <w:rsid w:val="549D2E08"/>
    <w:rsid w:val="55DA27D6"/>
    <w:rsid w:val="57BF5445"/>
    <w:rsid w:val="57E76C3F"/>
    <w:rsid w:val="58FE3411"/>
    <w:rsid w:val="59A1513F"/>
    <w:rsid w:val="59D276BC"/>
    <w:rsid w:val="5ADF52AE"/>
    <w:rsid w:val="5BFD4463"/>
    <w:rsid w:val="5C4A2830"/>
    <w:rsid w:val="5C6341B8"/>
    <w:rsid w:val="5E495E5E"/>
    <w:rsid w:val="5F4E1B0B"/>
    <w:rsid w:val="5FFD6134"/>
    <w:rsid w:val="603470F6"/>
    <w:rsid w:val="61197781"/>
    <w:rsid w:val="616E5C7D"/>
    <w:rsid w:val="63D45ABE"/>
    <w:rsid w:val="64756EC7"/>
    <w:rsid w:val="65845125"/>
    <w:rsid w:val="65D6121E"/>
    <w:rsid w:val="65E13BF5"/>
    <w:rsid w:val="66E66B7F"/>
    <w:rsid w:val="674D4276"/>
    <w:rsid w:val="67FD6BC7"/>
    <w:rsid w:val="68076CBB"/>
    <w:rsid w:val="6870253F"/>
    <w:rsid w:val="68772EB0"/>
    <w:rsid w:val="691703A2"/>
    <w:rsid w:val="6B1216C8"/>
    <w:rsid w:val="6BF8690D"/>
    <w:rsid w:val="6C525E19"/>
    <w:rsid w:val="6C6000BA"/>
    <w:rsid w:val="6E1A732D"/>
    <w:rsid w:val="6E7199D5"/>
    <w:rsid w:val="6EE41FEB"/>
    <w:rsid w:val="6EF845CF"/>
    <w:rsid w:val="6F582F4A"/>
    <w:rsid w:val="6FBE602E"/>
    <w:rsid w:val="6FDF7F16"/>
    <w:rsid w:val="704613CF"/>
    <w:rsid w:val="70596E59"/>
    <w:rsid w:val="71070F52"/>
    <w:rsid w:val="71B40D71"/>
    <w:rsid w:val="71EC32CB"/>
    <w:rsid w:val="745F1D78"/>
    <w:rsid w:val="745F53D6"/>
    <w:rsid w:val="74DC08CB"/>
    <w:rsid w:val="7563347C"/>
    <w:rsid w:val="75DF15CC"/>
    <w:rsid w:val="76844966"/>
    <w:rsid w:val="785D2E30"/>
    <w:rsid w:val="7AB745F7"/>
    <w:rsid w:val="7C097F49"/>
    <w:rsid w:val="7C3163E4"/>
    <w:rsid w:val="7DF00C28"/>
    <w:rsid w:val="7EA57E0A"/>
    <w:rsid w:val="7F79B80B"/>
    <w:rsid w:val="7FF5D011"/>
    <w:rsid w:val="B67E3BF3"/>
    <w:rsid w:val="B70FA2DD"/>
    <w:rsid w:val="D3FD234A"/>
    <w:rsid w:val="E7BD9927"/>
    <w:rsid w:val="F9F6A785"/>
    <w:rsid w:val="FBD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2"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qFormat/>
    <w:uiPriority w:val="99"/>
    <w:pPr>
      <w:ind w:left="420" w:leftChars="200"/>
    </w:pPr>
  </w:style>
  <w:style w:type="paragraph" w:styleId="4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toc 1"/>
    <w:basedOn w:val="1"/>
    <w:next w:val="1"/>
    <w:semiHidden/>
    <w:qFormat/>
    <w:locked/>
    <w:uiPriority w:val="99"/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10">
    <w:name w:val="page number"/>
    <w:basedOn w:val="9"/>
    <w:qFormat/>
    <w:uiPriority w:val="99"/>
  </w:style>
  <w:style w:type="character" w:customStyle="1" w:styleId="11">
    <w:name w:val="Body Text Indent Char"/>
    <w:basedOn w:val="9"/>
    <w:link w:val="3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12">
    <w:name w:val="Body Text First Indent 2 Char"/>
    <w:basedOn w:val="11"/>
    <w:link w:val="2"/>
    <w:semiHidden/>
    <w:qFormat/>
    <w:locked/>
    <w:uiPriority w:val="99"/>
  </w:style>
  <w:style w:type="character" w:customStyle="1" w:styleId="13">
    <w:name w:val="Date Char"/>
    <w:basedOn w:val="9"/>
    <w:link w:val="4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428</Words>
  <Characters>2441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greatwall</cp:lastModifiedBy>
  <cp:lastPrinted>2021-05-09T23:04:00Z</cp:lastPrinted>
  <dcterms:modified xsi:type="dcterms:W3CDTF">2021-05-13T10:56:39Z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