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b/>
          <w:sz w:val="28"/>
          <w:szCs w:val="32"/>
        </w:rPr>
      </w:pPr>
    </w:p>
    <w:p>
      <w:pPr>
        <w:spacing w:line="579" w:lineRule="exact"/>
        <w:jc w:val="center"/>
        <w:rPr>
          <w:rFonts w:ascii="黑体" w:hAnsi="黑体" w:eastAsia="黑体" w:cs="宋体"/>
          <w:kern w:val="0"/>
          <w:sz w:val="36"/>
          <w:szCs w:val="36"/>
        </w:rPr>
      </w:pPr>
      <w:r>
        <w:rPr>
          <w:rFonts w:hint="eastAsia" w:ascii="黑体" w:hAnsi="黑体" w:eastAsia="黑体" w:cs="宋体"/>
          <w:kern w:val="0"/>
          <w:sz w:val="36"/>
          <w:szCs w:val="36"/>
        </w:rPr>
        <w:t>湖南省妇女联合会2016年度部门整体</w:t>
      </w:r>
    </w:p>
    <w:p>
      <w:pPr>
        <w:spacing w:line="579" w:lineRule="exact"/>
        <w:jc w:val="center"/>
        <w:rPr>
          <w:b/>
          <w:sz w:val="28"/>
          <w:szCs w:val="32"/>
        </w:rPr>
      </w:pPr>
      <w:r>
        <w:rPr>
          <w:rFonts w:hint="eastAsia" w:ascii="黑体" w:hAnsi="黑体" w:eastAsia="黑体" w:cs="宋体"/>
          <w:kern w:val="0"/>
          <w:sz w:val="36"/>
          <w:szCs w:val="36"/>
        </w:rPr>
        <w:t>支出绩效评价报告</w:t>
      </w:r>
    </w:p>
    <w:p>
      <w:pPr>
        <w:widowControl/>
        <w:spacing w:before="100" w:beforeAutospacing="1" w:after="100" w:afterAutospacing="1" w:line="600" w:lineRule="exact"/>
        <w:ind w:right="641"/>
        <w:jc w:val="center"/>
        <w:rPr>
          <w:rFonts w:ascii="黑体" w:hAnsi="黑体" w:eastAsia="黑体" w:cs="宋体"/>
          <w:kern w:val="0"/>
          <w:sz w:val="44"/>
          <w:szCs w:val="44"/>
        </w:rPr>
      </w:pPr>
    </w:p>
    <w:p>
      <w:pPr>
        <w:spacing w:line="360" w:lineRule="auto"/>
        <w:jc w:val="left"/>
        <w:rPr>
          <w:rFonts w:ascii="Calibri" w:hAnsi="Calibri" w:eastAsia="宋体" w:cs="黑体"/>
          <w:b/>
          <w:sz w:val="32"/>
          <w:szCs w:val="32"/>
        </w:rPr>
      </w:pPr>
      <w:r>
        <w:rPr>
          <w:rFonts w:hint="eastAsia" w:ascii="Calibri" w:hAnsi="Calibri" w:eastAsia="宋体" w:cs="黑体"/>
          <w:b/>
          <w:sz w:val="32"/>
          <w:szCs w:val="32"/>
        </w:rPr>
        <w:t>湖南省财政厅：</w:t>
      </w:r>
    </w:p>
    <w:p>
      <w:pPr>
        <w:spacing w:line="360" w:lineRule="auto"/>
        <w:ind w:firstLine="551" w:firstLineChars="197"/>
        <w:rPr>
          <w:rFonts w:ascii="Calibri" w:hAnsi="Calibri" w:eastAsia="宋体" w:cs="黑体"/>
          <w:sz w:val="28"/>
          <w:szCs w:val="28"/>
        </w:rPr>
      </w:pPr>
      <w:r>
        <w:rPr>
          <w:rFonts w:hint="eastAsia" w:ascii="Calibri" w:hAnsi="Calibri" w:eastAsia="宋体" w:cs="黑体"/>
          <w:sz w:val="28"/>
          <w:szCs w:val="28"/>
        </w:rPr>
        <w:t>根据财政部《关于印发&lt;财政支出绩效评价管理暂行办法&gt;的通知》（财预[2011]285号）、《湖南省人民政府关于全面推进预算绩效管理的意见》（湘政发[2012]33号）和《湖南省财政厅关于做好2016年度省级财政资金绩效自评工作的通知》（湘财绩[2017]6号）等有关绩效评价的相关规定，本着独立、客观、公正、科学的原则，按照公认的绩效评价方法，我们对湖南省妇女联合会</w:t>
      </w:r>
      <w:r>
        <w:rPr>
          <w:rFonts w:hint="eastAsia"/>
          <w:sz w:val="28"/>
          <w:szCs w:val="28"/>
        </w:rPr>
        <w:t>（以下简称“</w:t>
      </w:r>
      <w:r>
        <w:rPr>
          <w:rFonts w:hint="eastAsia" w:ascii="Calibri" w:hAnsi="Calibri" w:eastAsia="宋体" w:cs="黑体"/>
          <w:sz w:val="28"/>
          <w:szCs w:val="28"/>
        </w:rPr>
        <w:t>省妇联”</w:t>
      </w:r>
      <w:r>
        <w:rPr>
          <w:rFonts w:hint="eastAsia"/>
          <w:sz w:val="28"/>
          <w:szCs w:val="28"/>
        </w:rPr>
        <w:t>）</w:t>
      </w:r>
      <w:r>
        <w:rPr>
          <w:rFonts w:hint="eastAsia" w:ascii="Calibri" w:hAnsi="Calibri" w:eastAsia="宋体" w:cs="黑体"/>
          <w:sz w:val="28"/>
          <w:szCs w:val="28"/>
        </w:rPr>
        <w:t>2016年度部门整体支出进行了绩效评价。现将绩效评价情况及评价结果报告如下：</w:t>
      </w:r>
    </w:p>
    <w:p>
      <w:pPr>
        <w:pStyle w:val="3"/>
        <w:ind w:firstLine="627" w:firstLineChars="196"/>
        <w:rPr>
          <w:rFonts w:ascii="宋体" w:hAnsi="宋体"/>
          <w:kern w:val="0"/>
        </w:rPr>
      </w:pPr>
      <w:bookmarkStart w:id="0" w:name="_Toc461453650"/>
      <w:r>
        <w:rPr>
          <w:rFonts w:hint="eastAsia"/>
          <w:kern w:val="0"/>
        </w:rPr>
        <w:t>一、部门概况</w:t>
      </w:r>
      <w:bookmarkEnd w:id="0"/>
    </w:p>
    <w:p>
      <w:pPr>
        <w:widowControl/>
        <w:snapToGrid w:val="0"/>
        <w:spacing w:before="100" w:beforeAutospacing="1" w:after="100" w:afterAutospacing="1"/>
        <w:ind w:firstLine="560" w:firstLineChars="200"/>
        <w:jc w:val="left"/>
        <w:rPr>
          <w:sz w:val="28"/>
          <w:szCs w:val="28"/>
        </w:rPr>
      </w:pPr>
      <w:r>
        <w:rPr>
          <w:rFonts w:hint="eastAsia"/>
          <w:sz w:val="28"/>
          <w:szCs w:val="28"/>
        </w:rPr>
        <w:t>（一）部门基本情况</w:t>
      </w:r>
    </w:p>
    <w:p>
      <w:pPr>
        <w:widowControl/>
        <w:shd w:val="clear" w:color="auto" w:fill="FFFFFF"/>
        <w:spacing w:line="360" w:lineRule="auto"/>
        <w:ind w:firstLine="560" w:firstLineChars="200"/>
        <w:jc w:val="left"/>
        <w:rPr>
          <w:rFonts w:ascii="Calibri" w:hAnsi="Calibri" w:eastAsia="宋体" w:cs="Times New Roman"/>
          <w:sz w:val="28"/>
          <w:szCs w:val="28"/>
        </w:rPr>
      </w:pPr>
      <w:r>
        <w:rPr>
          <w:rFonts w:hint="eastAsia" w:ascii="Calibri" w:hAnsi="Calibri" w:eastAsia="宋体" w:cs="黑体"/>
          <w:sz w:val="28"/>
          <w:szCs w:val="28"/>
        </w:rPr>
        <w:t>省妇联</w:t>
      </w:r>
      <w:r>
        <w:rPr>
          <w:rFonts w:hint="eastAsia" w:ascii="Calibri" w:hAnsi="Calibri" w:eastAsia="宋体" w:cs="Times New Roman"/>
          <w:sz w:val="28"/>
          <w:szCs w:val="28"/>
        </w:rPr>
        <w:t>2016年系统纳入财政预算的机构包括机关本级和下属二级机构湖南</w:t>
      </w:r>
      <w:r>
        <w:rPr>
          <w:rFonts w:ascii="Calibri" w:hAnsi="Calibri" w:eastAsia="宋体" w:cs="Times New Roman"/>
          <w:sz w:val="28"/>
          <w:szCs w:val="28"/>
        </w:rPr>
        <w:t>省妇女儿童活动中心</w:t>
      </w:r>
      <w:r>
        <w:rPr>
          <w:rFonts w:hint="eastAsia" w:ascii="Calibri" w:hAnsi="Calibri" w:eastAsia="宋体" w:cs="Times New Roman"/>
          <w:sz w:val="28"/>
          <w:szCs w:val="28"/>
        </w:rPr>
        <w:t>（以下简称“</w:t>
      </w:r>
      <w:r>
        <w:rPr>
          <w:rFonts w:ascii="Calibri" w:hAnsi="Calibri" w:eastAsia="宋体" w:cs="Times New Roman"/>
          <w:sz w:val="28"/>
          <w:szCs w:val="28"/>
        </w:rPr>
        <w:t>活动中心</w:t>
      </w:r>
      <w:r>
        <w:rPr>
          <w:rFonts w:hint="eastAsia" w:ascii="Calibri" w:hAnsi="Calibri" w:eastAsia="宋体" w:cs="Times New Roman"/>
          <w:sz w:val="28"/>
          <w:szCs w:val="28"/>
        </w:rPr>
        <w:t>”）</w:t>
      </w:r>
      <w:r>
        <w:rPr>
          <w:rFonts w:ascii="Calibri" w:hAnsi="Calibri" w:eastAsia="宋体" w:cs="Times New Roman"/>
          <w:sz w:val="28"/>
          <w:szCs w:val="28"/>
        </w:rPr>
        <w:t>、</w:t>
      </w:r>
      <w:r>
        <w:rPr>
          <w:rFonts w:hint="eastAsia" w:ascii="Calibri" w:hAnsi="Calibri" w:eastAsia="宋体" w:cs="Times New Roman"/>
          <w:sz w:val="28"/>
          <w:szCs w:val="28"/>
        </w:rPr>
        <w:t>湖南</w:t>
      </w:r>
      <w:r>
        <w:rPr>
          <w:rFonts w:ascii="Calibri" w:hAnsi="Calibri" w:eastAsia="宋体" w:cs="Times New Roman"/>
          <w:sz w:val="28"/>
          <w:szCs w:val="28"/>
        </w:rPr>
        <w:t>省妇女儿童发展基金会办公室</w:t>
      </w:r>
      <w:r>
        <w:rPr>
          <w:rFonts w:hint="eastAsia" w:ascii="Calibri" w:hAnsi="Calibri" w:eastAsia="宋体" w:cs="Times New Roman"/>
          <w:sz w:val="28"/>
          <w:szCs w:val="28"/>
        </w:rPr>
        <w:t>（以下简称“基金办”），均属于财政预算全额拨款单位。其中：机关本级为行政单位，财务核算适用行政单位会计制度；活动中心和基金办为事业单位，财务核算适用事业单位会计制度</w:t>
      </w:r>
      <w:r>
        <w:rPr>
          <w:rFonts w:ascii="Calibri" w:hAnsi="Calibri" w:eastAsia="宋体" w:cs="Times New Roman"/>
          <w:sz w:val="28"/>
          <w:szCs w:val="28"/>
        </w:rPr>
        <w:t>。</w:t>
      </w:r>
    </w:p>
    <w:p>
      <w:pPr>
        <w:widowControl/>
        <w:shd w:val="clear" w:color="auto" w:fill="FFFFFF"/>
        <w:spacing w:line="360" w:lineRule="auto"/>
        <w:ind w:firstLine="560" w:firstLineChars="200"/>
        <w:jc w:val="left"/>
        <w:rPr>
          <w:rFonts w:ascii="Calibri" w:hAnsi="Calibri" w:eastAsia="宋体" w:cs="Times New Roman"/>
          <w:sz w:val="28"/>
          <w:szCs w:val="28"/>
        </w:rPr>
      </w:pPr>
      <w:r>
        <w:rPr>
          <w:rFonts w:hint="eastAsia" w:ascii="Calibri" w:hAnsi="Calibri" w:eastAsia="宋体" w:cs="黑体"/>
          <w:sz w:val="28"/>
          <w:szCs w:val="28"/>
        </w:rPr>
        <w:t>省妇联</w:t>
      </w:r>
      <w:r>
        <w:rPr>
          <w:rFonts w:ascii="Calibri" w:hAnsi="Calibri" w:eastAsia="宋体" w:cs="黑体"/>
          <w:sz w:val="28"/>
          <w:szCs w:val="28"/>
        </w:rPr>
        <w:t>成立于1953年</w:t>
      </w:r>
      <w:r>
        <w:rPr>
          <w:rFonts w:hint="eastAsia" w:ascii="Calibri" w:hAnsi="Calibri" w:eastAsia="宋体" w:cs="黑体"/>
          <w:sz w:val="28"/>
          <w:szCs w:val="28"/>
        </w:rPr>
        <w:t>，</w:t>
      </w:r>
      <w:r>
        <w:rPr>
          <w:rFonts w:ascii="Calibri" w:hAnsi="Calibri" w:eastAsia="宋体" w:cs="黑体"/>
          <w:sz w:val="28"/>
          <w:szCs w:val="28"/>
        </w:rPr>
        <w:t>是全省各族各界妇女在中共湖南省委领导下，为争取妇女进一步解放而联合起来的社会群众团体</w:t>
      </w:r>
      <w:r>
        <w:rPr>
          <w:rFonts w:hint="eastAsia" w:ascii="Calibri" w:hAnsi="Calibri" w:eastAsia="宋体" w:cs="黑体"/>
          <w:sz w:val="28"/>
          <w:szCs w:val="28"/>
        </w:rPr>
        <w:t>，是党和政府联系妇女群众的桥梁和纽带</w:t>
      </w:r>
      <w:r>
        <w:rPr>
          <w:rFonts w:ascii="Calibri" w:hAnsi="Calibri" w:eastAsia="宋体" w:cs="黑体"/>
          <w:sz w:val="28"/>
          <w:szCs w:val="28"/>
        </w:rPr>
        <w:t>。</w:t>
      </w:r>
      <w:r>
        <w:rPr>
          <w:rFonts w:hint="eastAsia" w:ascii="Calibri" w:hAnsi="Calibri" w:eastAsia="宋体" w:cs="Times New Roman"/>
          <w:sz w:val="28"/>
          <w:szCs w:val="28"/>
        </w:rPr>
        <w:t>主要工作职能</w:t>
      </w:r>
      <w:r>
        <w:rPr>
          <w:rFonts w:hint="eastAsia" w:ascii="Calibri" w:hAnsi="Calibri" w:eastAsia="宋体" w:cs="黑体"/>
          <w:sz w:val="28"/>
          <w:szCs w:val="28"/>
        </w:rPr>
        <w:t>是：</w:t>
      </w:r>
      <w:r>
        <w:rPr>
          <w:rFonts w:ascii="Calibri" w:hAnsi="Calibri" w:eastAsia="宋体" w:cs="黑体"/>
          <w:sz w:val="28"/>
          <w:szCs w:val="28"/>
        </w:rPr>
        <w:t>指导全省各级妇联依据《中华全国妇女联合会章程》和妇女代表大会的决定、决议，开展妇女儿童工作，联系团体会员，并给予业务指导</w:t>
      </w:r>
      <w:r>
        <w:rPr>
          <w:rFonts w:hint="eastAsia" w:ascii="Calibri" w:hAnsi="Calibri" w:eastAsia="宋体" w:cs="黑体"/>
          <w:sz w:val="28"/>
          <w:szCs w:val="28"/>
        </w:rPr>
        <w:t>；</w:t>
      </w:r>
      <w:r>
        <w:rPr>
          <w:rFonts w:ascii="Calibri" w:hAnsi="Calibri" w:eastAsia="宋体" w:cs="黑体"/>
          <w:sz w:val="28"/>
          <w:szCs w:val="28"/>
        </w:rPr>
        <w:t>指导和推动全省农村妇女“双学双比”活动、城镇妇女“巾帼建功”活动和“五好文明家庭”创建活动</w:t>
      </w:r>
      <w:r>
        <w:rPr>
          <w:rFonts w:hint="eastAsia" w:ascii="Calibri" w:hAnsi="Calibri" w:eastAsia="宋体" w:cs="Times New Roman"/>
          <w:sz w:val="28"/>
          <w:szCs w:val="28"/>
        </w:rPr>
        <w:t>；</w:t>
      </w:r>
      <w:r>
        <w:rPr>
          <w:rFonts w:ascii="Calibri" w:hAnsi="Calibri" w:eastAsia="宋体" w:cs="Times New Roman"/>
          <w:sz w:val="28"/>
          <w:szCs w:val="28"/>
        </w:rPr>
        <w:t>教育</w:t>
      </w:r>
      <w:r>
        <w:rPr>
          <w:rFonts w:hint="eastAsia" w:ascii="Calibri" w:hAnsi="Calibri" w:eastAsia="宋体" w:cs="Times New Roman"/>
          <w:sz w:val="28"/>
          <w:szCs w:val="28"/>
          <w:lang w:eastAsia="zh-CN"/>
        </w:rPr>
        <w:t>和</w:t>
      </w:r>
      <w:r>
        <w:rPr>
          <w:rFonts w:ascii="Calibri" w:hAnsi="Calibri" w:eastAsia="宋体" w:cs="Times New Roman"/>
          <w:sz w:val="28"/>
          <w:szCs w:val="28"/>
        </w:rPr>
        <w:t>引导广大妇女自尊、自信、自立、自强</w:t>
      </w:r>
      <w:r>
        <w:rPr>
          <w:rFonts w:hint="eastAsia" w:ascii="Calibri" w:hAnsi="Calibri" w:eastAsia="宋体" w:cs="Times New Roman"/>
          <w:sz w:val="28"/>
          <w:szCs w:val="28"/>
        </w:rPr>
        <w:t>，</w:t>
      </w:r>
      <w:r>
        <w:rPr>
          <w:rFonts w:ascii="Calibri" w:hAnsi="Calibri" w:eastAsia="宋体" w:cs="Times New Roman"/>
          <w:sz w:val="28"/>
          <w:szCs w:val="28"/>
        </w:rPr>
        <w:t>宣传妇女典型，开展女性成才研讨，实施女性素质工程，促进妇女人才成长，全面提高妇女素质</w:t>
      </w:r>
      <w:r>
        <w:rPr>
          <w:rFonts w:hint="eastAsia" w:ascii="Calibri" w:hAnsi="Calibri" w:eastAsia="宋体" w:cs="Times New Roman"/>
          <w:sz w:val="28"/>
          <w:szCs w:val="28"/>
        </w:rPr>
        <w:t>；</w:t>
      </w:r>
      <w:r>
        <w:rPr>
          <w:rFonts w:ascii="Calibri" w:hAnsi="Calibri" w:eastAsia="宋体" w:cs="Times New Roman"/>
          <w:sz w:val="28"/>
          <w:szCs w:val="28"/>
        </w:rPr>
        <w:t>维护妇女儿童合法权益，调查研究妇女、儿童问题，为省委、省政府决策提供依据</w:t>
      </w:r>
      <w:r>
        <w:rPr>
          <w:rFonts w:hint="eastAsia" w:ascii="Calibri" w:hAnsi="Calibri" w:eastAsia="宋体" w:cs="Times New Roman"/>
          <w:sz w:val="28"/>
          <w:szCs w:val="28"/>
        </w:rPr>
        <w:t>、</w:t>
      </w:r>
      <w:r>
        <w:rPr>
          <w:rFonts w:ascii="Calibri" w:hAnsi="Calibri" w:eastAsia="宋体" w:cs="Times New Roman"/>
          <w:sz w:val="28"/>
          <w:szCs w:val="28"/>
        </w:rPr>
        <w:t>提出建议</w:t>
      </w:r>
      <w:r>
        <w:rPr>
          <w:rFonts w:hint="eastAsia" w:ascii="Calibri" w:hAnsi="Calibri" w:eastAsia="宋体" w:cs="Times New Roman"/>
          <w:sz w:val="28"/>
          <w:szCs w:val="28"/>
        </w:rPr>
        <w:t>，</w:t>
      </w:r>
      <w:r>
        <w:rPr>
          <w:rFonts w:ascii="Calibri" w:hAnsi="Calibri" w:eastAsia="宋体" w:cs="Times New Roman"/>
          <w:sz w:val="28"/>
          <w:szCs w:val="28"/>
        </w:rPr>
        <w:t>动员妇女参与国家和社会事务的民主管理、民主监督，促进妇女参政议政和参与有关妇女儿童的法律、法规的制订</w:t>
      </w:r>
      <w:r>
        <w:rPr>
          <w:rFonts w:hint="eastAsia" w:ascii="Calibri" w:hAnsi="Calibri" w:eastAsia="宋体" w:cs="Times New Roman"/>
          <w:sz w:val="28"/>
          <w:szCs w:val="28"/>
        </w:rPr>
        <w:t>；</w:t>
      </w:r>
      <w:r>
        <w:rPr>
          <w:rFonts w:ascii="Calibri" w:hAnsi="Calibri" w:eastAsia="宋体" w:cs="Times New Roman"/>
          <w:sz w:val="28"/>
          <w:szCs w:val="28"/>
        </w:rPr>
        <w:t>贯彻实施国务院颁发的《中国妇女发展纲要》</w:t>
      </w:r>
      <w:r>
        <w:rPr>
          <w:rFonts w:hint="eastAsia" w:ascii="Calibri" w:hAnsi="Calibri" w:eastAsia="宋体" w:cs="Times New Roman"/>
          <w:sz w:val="28"/>
          <w:szCs w:val="28"/>
        </w:rPr>
        <w:t>、</w:t>
      </w:r>
      <w:r>
        <w:rPr>
          <w:rFonts w:ascii="Calibri" w:hAnsi="Calibri" w:eastAsia="宋体" w:cs="Times New Roman"/>
          <w:sz w:val="28"/>
          <w:szCs w:val="28"/>
        </w:rPr>
        <w:t>《中国儿童发展纲要》，协助省政府制定《湖南省妇女发展规划》和《湖南省儿童发展规划》，并组织</w:t>
      </w:r>
      <w:r>
        <w:rPr>
          <w:rFonts w:hint="eastAsia" w:ascii="Calibri" w:hAnsi="Calibri" w:eastAsia="宋体" w:cs="Times New Roman"/>
          <w:sz w:val="28"/>
          <w:szCs w:val="28"/>
        </w:rPr>
        <w:t>实施；</w:t>
      </w:r>
      <w:r>
        <w:rPr>
          <w:rFonts w:ascii="Calibri" w:hAnsi="Calibri" w:eastAsia="宋体" w:cs="Times New Roman"/>
          <w:sz w:val="28"/>
          <w:szCs w:val="28"/>
        </w:rPr>
        <w:t>加强城乡基层妇女组织建设，扩大组织网络，拓宽工作领域</w:t>
      </w:r>
      <w:r>
        <w:rPr>
          <w:rFonts w:hint="eastAsia" w:ascii="Calibri" w:hAnsi="Calibri" w:eastAsia="宋体" w:cs="Times New Roman"/>
          <w:sz w:val="28"/>
          <w:szCs w:val="28"/>
        </w:rPr>
        <w:t>；</w:t>
      </w:r>
      <w:r>
        <w:rPr>
          <w:rFonts w:ascii="Calibri" w:hAnsi="Calibri" w:eastAsia="宋体" w:cs="Times New Roman"/>
          <w:sz w:val="28"/>
          <w:szCs w:val="28"/>
        </w:rPr>
        <w:t>加强国际友好交往，引进妇女技能培训、女童入学、家庭教育、降低新生儿死亡率和孕产妇死亡率、维护妇女儿童的合法权益等方面的国际经济援助项目，促进国际国内经济合作</w:t>
      </w:r>
      <w:r>
        <w:rPr>
          <w:rFonts w:hint="eastAsia" w:ascii="Calibri" w:hAnsi="Calibri" w:eastAsia="宋体" w:cs="Times New Roman"/>
          <w:sz w:val="28"/>
          <w:szCs w:val="28"/>
        </w:rPr>
        <w:t>；</w:t>
      </w:r>
      <w:r>
        <w:rPr>
          <w:rFonts w:ascii="Calibri" w:hAnsi="Calibri" w:eastAsia="宋体" w:cs="Times New Roman"/>
          <w:sz w:val="28"/>
          <w:szCs w:val="28"/>
        </w:rPr>
        <w:t>负责与社会各界各族妇女的联络，与民主党派、工商联和团体会员之间的联系，开展同香港、澳门特别行政区和台湾地区及华侨妇女的联谊活动，促进祖国统一</w:t>
      </w:r>
      <w:r>
        <w:rPr>
          <w:rFonts w:hint="eastAsia" w:ascii="Calibri" w:hAnsi="Calibri" w:eastAsia="宋体" w:cs="Times New Roman"/>
          <w:sz w:val="28"/>
          <w:szCs w:val="28"/>
        </w:rPr>
        <w:t>；</w:t>
      </w:r>
      <w:r>
        <w:rPr>
          <w:rFonts w:ascii="Calibri" w:hAnsi="Calibri" w:eastAsia="宋体" w:cs="Times New Roman"/>
          <w:sz w:val="28"/>
          <w:szCs w:val="28"/>
        </w:rPr>
        <w:t>承办省委、省人民政府交办的其他事项。</w:t>
      </w:r>
    </w:p>
    <w:p>
      <w:pPr>
        <w:widowControl/>
        <w:shd w:val="clear" w:color="auto" w:fill="FFFFFF"/>
        <w:spacing w:line="360" w:lineRule="auto"/>
        <w:ind w:firstLine="560" w:firstLineChars="200"/>
        <w:jc w:val="left"/>
        <w:rPr>
          <w:rFonts w:ascii="Calibri" w:hAnsi="Calibri" w:eastAsia="宋体" w:cs="Times New Roman"/>
          <w:sz w:val="28"/>
          <w:szCs w:val="28"/>
        </w:rPr>
      </w:pPr>
    </w:p>
    <w:p>
      <w:pPr>
        <w:widowControl/>
        <w:shd w:val="clear" w:color="auto" w:fill="FFFFFF"/>
        <w:spacing w:line="360" w:lineRule="auto"/>
        <w:ind w:firstLine="560" w:firstLineChars="200"/>
        <w:jc w:val="left"/>
        <w:rPr>
          <w:rFonts w:ascii="Calibri" w:hAnsi="Calibri" w:eastAsia="宋体" w:cs="Times New Roman"/>
          <w:sz w:val="28"/>
          <w:szCs w:val="28"/>
        </w:rPr>
      </w:pPr>
      <w:r>
        <w:rPr>
          <w:rFonts w:ascii="Calibri" w:hAnsi="Calibri" w:eastAsia="宋体" w:cs="Times New Roman"/>
          <w:sz w:val="28"/>
          <w:szCs w:val="28"/>
        </w:rPr>
        <w:t>省妇联设办公室、组织联络部</w:t>
      </w:r>
      <w:r>
        <w:rPr>
          <w:rFonts w:hint="eastAsia" w:ascii="Calibri" w:hAnsi="Calibri" w:eastAsia="宋体" w:cs="Times New Roman"/>
          <w:sz w:val="28"/>
          <w:szCs w:val="28"/>
        </w:rPr>
        <w:t>（机关党委）</w:t>
      </w:r>
      <w:r>
        <w:rPr>
          <w:rFonts w:ascii="Calibri" w:hAnsi="Calibri" w:eastAsia="宋体" w:cs="Times New Roman"/>
          <w:sz w:val="28"/>
          <w:szCs w:val="28"/>
        </w:rPr>
        <w:t>、宣传部、事业发展部、权益部、儿童</w:t>
      </w:r>
      <w:r>
        <w:rPr>
          <w:rFonts w:hint="eastAsia" w:ascii="Calibri" w:hAnsi="Calibri" w:eastAsia="宋体" w:cs="Times New Roman"/>
          <w:sz w:val="28"/>
          <w:szCs w:val="28"/>
        </w:rPr>
        <w:t>工作</w:t>
      </w:r>
      <w:r>
        <w:rPr>
          <w:rFonts w:ascii="Calibri" w:hAnsi="Calibri" w:eastAsia="宋体" w:cs="Times New Roman"/>
          <w:sz w:val="28"/>
          <w:szCs w:val="28"/>
        </w:rPr>
        <w:t>部、</w:t>
      </w:r>
      <w:r>
        <w:rPr>
          <w:rFonts w:hint="eastAsia" w:ascii="Calibri" w:hAnsi="Calibri" w:eastAsia="宋体" w:cs="Times New Roman"/>
          <w:sz w:val="28"/>
          <w:szCs w:val="28"/>
        </w:rPr>
        <w:t>省政府妇女儿童工作委员会</w:t>
      </w:r>
      <w:r>
        <w:rPr>
          <w:rFonts w:ascii="Calibri" w:hAnsi="Calibri" w:eastAsia="宋体" w:cs="Times New Roman"/>
          <w:sz w:val="28"/>
          <w:szCs w:val="28"/>
        </w:rPr>
        <w:t>7个</w:t>
      </w:r>
      <w:r>
        <w:rPr>
          <w:rFonts w:hint="eastAsia" w:ascii="Calibri" w:hAnsi="Calibri" w:eastAsia="宋体" w:cs="Times New Roman"/>
          <w:sz w:val="28"/>
          <w:szCs w:val="28"/>
        </w:rPr>
        <w:t>部</w:t>
      </w:r>
      <w:r>
        <w:rPr>
          <w:rFonts w:ascii="Calibri" w:hAnsi="Calibri" w:eastAsia="宋体" w:cs="Times New Roman"/>
          <w:sz w:val="28"/>
          <w:szCs w:val="28"/>
        </w:rPr>
        <w:t>室。</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截至2016年底，</w:t>
      </w:r>
      <w:r>
        <w:rPr>
          <w:rFonts w:ascii="Calibri" w:hAnsi="Calibri" w:eastAsia="宋体" w:cs="Times New Roman"/>
          <w:sz w:val="28"/>
          <w:szCs w:val="28"/>
        </w:rPr>
        <w:t>省妇联</w:t>
      </w:r>
      <w:r>
        <w:rPr>
          <w:rFonts w:hint="eastAsia" w:ascii="Calibri" w:hAnsi="Calibri" w:eastAsia="宋体" w:cs="Times New Roman"/>
          <w:sz w:val="28"/>
          <w:szCs w:val="28"/>
        </w:rPr>
        <w:t>共有人员编制</w:t>
      </w:r>
      <w:r>
        <w:rPr>
          <w:rFonts w:hint="eastAsia" w:eastAsia="宋体"/>
          <w:sz w:val="28"/>
          <w:szCs w:val="28"/>
        </w:rPr>
        <w:t>87</w:t>
      </w:r>
      <w:r>
        <w:rPr>
          <w:rFonts w:hint="eastAsia"/>
          <w:sz w:val="28"/>
          <w:szCs w:val="28"/>
        </w:rPr>
        <w:t>人</w:t>
      </w:r>
      <w:r>
        <w:rPr>
          <w:rFonts w:hint="eastAsia" w:ascii="Calibri" w:hAnsi="Calibri" w:eastAsia="宋体" w:cs="Times New Roman"/>
          <w:sz w:val="28"/>
          <w:szCs w:val="28"/>
        </w:rPr>
        <w:t>，其中行政及参公编制41人，事业编制46人。</w:t>
      </w:r>
      <w:r>
        <w:rPr>
          <w:rFonts w:hint="eastAsia"/>
          <w:sz w:val="28"/>
          <w:szCs w:val="28"/>
        </w:rPr>
        <w:t>年末实有人数127人，其中</w:t>
      </w:r>
      <w:r>
        <w:rPr>
          <w:rFonts w:hint="eastAsia" w:ascii="Calibri" w:hAnsi="Calibri" w:eastAsia="宋体" w:cs="Times New Roman"/>
          <w:sz w:val="28"/>
          <w:szCs w:val="28"/>
        </w:rPr>
        <w:t>在职72人，离退休55人。</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根据《湖南省妇联2016年工作要点》，2016年的工作要点为：</w:t>
      </w:r>
    </w:p>
    <w:p>
      <w:pPr>
        <w:numPr>
          <w:ilvl w:val="0"/>
          <w:numId w:val="1"/>
        </w:numPr>
        <w:adjustRightInd w:val="0"/>
        <w:snapToGrid w:val="0"/>
        <w:spacing w:line="600" w:lineRule="exact"/>
        <w:ind w:firstLine="560" w:firstLineChars="200"/>
        <w:rPr>
          <w:rFonts w:ascii="Calibri" w:hAnsi="Calibri" w:eastAsia="宋体" w:cs="Times New Roman"/>
          <w:sz w:val="28"/>
          <w:szCs w:val="28"/>
        </w:rPr>
      </w:pPr>
      <w:r>
        <w:rPr>
          <w:rFonts w:ascii="Calibri" w:hAnsi="Calibri" w:eastAsia="宋体" w:cs="Times New Roman"/>
          <w:sz w:val="28"/>
          <w:szCs w:val="28"/>
        </w:rPr>
        <w:t>加强思想引领，弘扬良好家风，大力培育和践行社会主义核心价值观</w:t>
      </w:r>
      <w:r>
        <w:rPr>
          <w:rFonts w:hint="eastAsia" w:ascii="Calibri" w:hAnsi="Calibri" w:eastAsia="宋体" w:cs="Times New Roman"/>
          <w:sz w:val="28"/>
          <w:szCs w:val="28"/>
        </w:rPr>
        <w:t>；</w:t>
      </w:r>
    </w:p>
    <w:p>
      <w:pPr>
        <w:numPr>
          <w:ilvl w:val="0"/>
          <w:numId w:val="1"/>
        </w:numPr>
        <w:adjustRightInd w:val="0"/>
        <w:snapToGrid w:val="0"/>
        <w:spacing w:line="600" w:lineRule="exact"/>
        <w:ind w:firstLine="560" w:firstLineChars="200"/>
        <w:rPr>
          <w:rFonts w:ascii="Calibri" w:hAnsi="Calibri" w:eastAsia="宋体" w:cs="Times New Roman"/>
          <w:sz w:val="28"/>
          <w:szCs w:val="28"/>
        </w:rPr>
      </w:pPr>
      <w:r>
        <w:rPr>
          <w:rFonts w:ascii="Calibri" w:hAnsi="Calibri" w:eastAsia="宋体" w:cs="Times New Roman"/>
          <w:sz w:val="28"/>
          <w:szCs w:val="28"/>
        </w:rPr>
        <w:t>着力创新创业，推进巾帼脱贫，引领妇女在</w:t>
      </w:r>
      <w:r>
        <w:rPr>
          <w:rFonts w:hint="eastAsia" w:ascii="Calibri" w:hAnsi="Calibri" w:eastAsia="宋体" w:cs="Times New Roman"/>
          <w:sz w:val="28"/>
          <w:szCs w:val="28"/>
        </w:rPr>
        <w:t>“</w:t>
      </w:r>
      <w:r>
        <w:rPr>
          <w:rFonts w:ascii="Calibri" w:hAnsi="Calibri" w:eastAsia="宋体" w:cs="Times New Roman"/>
          <w:sz w:val="28"/>
          <w:szCs w:val="28"/>
        </w:rPr>
        <w:t>十三五</w:t>
      </w:r>
      <w:r>
        <w:rPr>
          <w:rFonts w:hint="eastAsia" w:ascii="Calibri" w:hAnsi="Calibri" w:eastAsia="宋体" w:cs="Times New Roman"/>
          <w:sz w:val="28"/>
          <w:szCs w:val="28"/>
        </w:rPr>
        <w:t>”</w:t>
      </w:r>
      <w:r>
        <w:rPr>
          <w:rFonts w:ascii="Calibri" w:hAnsi="Calibri" w:eastAsia="宋体" w:cs="Times New Roman"/>
          <w:sz w:val="28"/>
          <w:szCs w:val="28"/>
        </w:rPr>
        <w:t>中建功立业</w:t>
      </w:r>
      <w:r>
        <w:rPr>
          <w:rFonts w:hint="eastAsia" w:ascii="Calibri" w:hAnsi="Calibri" w:eastAsia="宋体" w:cs="Times New Roman"/>
          <w:sz w:val="28"/>
          <w:szCs w:val="28"/>
        </w:rPr>
        <w:t>；</w:t>
      </w:r>
    </w:p>
    <w:p>
      <w:pPr>
        <w:numPr>
          <w:ilvl w:val="0"/>
          <w:numId w:val="1"/>
        </w:numPr>
        <w:adjustRightInd w:val="0"/>
        <w:snapToGrid w:val="0"/>
        <w:spacing w:line="600" w:lineRule="exact"/>
        <w:ind w:firstLine="560" w:firstLineChars="200"/>
        <w:rPr>
          <w:rFonts w:ascii="Calibri" w:hAnsi="Calibri" w:eastAsia="宋体" w:cs="Times New Roman"/>
          <w:sz w:val="28"/>
          <w:szCs w:val="28"/>
        </w:rPr>
      </w:pPr>
      <w:r>
        <w:rPr>
          <w:rFonts w:ascii="Calibri" w:hAnsi="Calibri" w:eastAsia="宋体" w:cs="Times New Roman"/>
          <w:sz w:val="28"/>
          <w:szCs w:val="28"/>
        </w:rPr>
        <w:t>运用法治思维，注重源头参与，有效保障妇女儿童合法权益</w:t>
      </w:r>
      <w:r>
        <w:rPr>
          <w:rFonts w:hint="eastAsia" w:ascii="Calibri" w:hAnsi="Calibri" w:eastAsia="宋体" w:cs="Times New Roman"/>
          <w:sz w:val="28"/>
          <w:szCs w:val="28"/>
        </w:rPr>
        <w:t>；</w:t>
      </w:r>
    </w:p>
    <w:p>
      <w:pPr>
        <w:numPr>
          <w:ilvl w:val="0"/>
          <w:numId w:val="1"/>
        </w:numPr>
        <w:adjustRightInd w:val="0"/>
        <w:snapToGrid w:val="0"/>
        <w:spacing w:line="600" w:lineRule="exact"/>
        <w:ind w:firstLine="560" w:firstLineChars="200"/>
        <w:rPr>
          <w:rFonts w:ascii="Calibri" w:hAnsi="Calibri" w:eastAsia="宋体" w:cs="Times New Roman"/>
          <w:sz w:val="28"/>
          <w:szCs w:val="28"/>
        </w:rPr>
      </w:pPr>
      <w:r>
        <w:rPr>
          <w:rFonts w:ascii="Calibri" w:hAnsi="Calibri" w:eastAsia="宋体" w:cs="Times New Roman"/>
          <w:sz w:val="28"/>
          <w:szCs w:val="28"/>
        </w:rPr>
        <w:t>拓展服务平台，创新工作方式，探索网上网下有机融合的妇联工作新格局</w:t>
      </w:r>
      <w:r>
        <w:rPr>
          <w:rFonts w:hint="eastAsia" w:ascii="Calibri" w:hAnsi="Calibri" w:eastAsia="宋体" w:cs="Times New Roman"/>
          <w:sz w:val="28"/>
          <w:szCs w:val="28"/>
        </w:rPr>
        <w:t>；</w:t>
      </w:r>
    </w:p>
    <w:p>
      <w:pPr>
        <w:numPr>
          <w:ilvl w:val="0"/>
          <w:numId w:val="1"/>
        </w:numPr>
        <w:adjustRightInd w:val="0"/>
        <w:snapToGrid w:val="0"/>
        <w:spacing w:line="600" w:lineRule="exact"/>
        <w:ind w:firstLine="560" w:firstLineChars="200"/>
        <w:rPr>
          <w:rFonts w:ascii="Calibri" w:hAnsi="Calibri" w:eastAsia="宋体" w:cs="Times New Roman"/>
          <w:sz w:val="28"/>
          <w:szCs w:val="28"/>
        </w:rPr>
      </w:pPr>
      <w:r>
        <w:rPr>
          <w:rFonts w:ascii="Calibri" w:hAnsi="Calibri" w:eastAsia="宋体" w:cs="Times New Roman"/>
          <w:sz w:val="28"/>
          <w:szCs w:val="28"/>
        </w:rPr>
        <w:t>落实“三性”要求，推进自我革新，努力建设开放型服务型妇联组织</w:t>
      </w:r>
      <w:r>
        <w:rPr>
          <w:rFonts w:hint="eastAsia" w:ascii="Calibri" w:hAnsi="Calibri" w:eastAsia="宋体" w:cs="Times New Roman"/>
          <w:sz w:val="28"/>
          <w:szCs w:val="28"/>
        </w:rPr>
        <w:t>。</w:t>
      </w:r>
    </w:p>
    <w:p>
      <w:pPr>
        <w:widowControl/>
        <w:shd w:val="clear" w:color="auto" w:fill="FFFFFF"/>
        <w:spacing w:line="360" w:lineRule="auto"/>
        <w:ind w:firstLine="420"/>
        <w:jc w:val="left"/>
        <w:rPr>
          <w:rFonts w:ascii="Calibri" w:hAnsi="Calibri" w:eastAsia="宋体" w:cs="Times New Roman"/>
          <w:sz w:val="28"/>
          <w:szCs w:val="28"/>
        </w:rPr>
      </w:pPr>
      <w:r>
        <w:rPr>
          <w:rFonts w:hint="eastAsia" w:ascii="Calibri" w:hAnsi="Calibri" w:eastAsia="宋体" w:cs="Times New Roman"/>
          <w:sz w:val="28"/>
          <w:szCs w:val="28"/>
        </w:rPr>
        <w:t>（二）部门整体支出情况</w:t>
      </w:r>
    </w:p>
    <w:p>
      <w:pPr>
        <w:widowControl/>
        <w:shd w:val="clear" w:color="auto" w:fill="FFFFFF"/>
        <w:spacing w:line="360" w:lineRule="auto"/>
        <w:ind w:firstLine="420"/>
        <w:jc w:val="left"/>
        <w:rPr>
          <w:rFonts w:ascii="Calibri" w:hAnsi="Calibri" w:eastAsia="宋体" w:cs="Times New Roman"/>
          <w:sz w:val="28"/>
          <w:szCs w:val="28"/>
        </w:rPr>
      </w:pPr>
      <w:bookmarkStart w:id="1" w:name="_Toc461453651"/>
      <w:r>
        <w:rPr>
          <w:rFonts w:hint="eastAsia" w:ascii="Calibri" w:hAnsi="Calibri" w:eastAsia="宋体" w:cs="Times New Roman"/>
          <w:sz w:val="28"/>
          <w:szCs w:val="28"/>
        </w:rPr>
        <w:t>省妇联2016年初省财政批复部门预算为1,445.03万元，上年经费结余为1,215.24万元，年中追加经费1,507.28万元，全年指标合计为4,167.55万元。2016年指标结余1,201.86万元。</w:t>
      </w:r>
    </w:p>
    <w:p>
      <w:pPr>
        <w:widowControl/>
        <w:shd w:val="clear" w:color="auto" w:fill="FFFFFF"/>
        <w:spacing w:line="360" w:lineRule="auto"/>
        <w:ind w:firstLine="420"/>
        <w:jc w:val="left"/>
        <w:rPr>
          <w:rFonts w:ascii="Calibri" w:hAnsi="Calibri" w:eastAsia="宋体" w:cs="Times New Roman"/>
          <w:sz w:val="28"/>
          <w:szCs w:val="28"/>
        </w:rPr>
      </w:pPr>
      <w:r>
        <w:rPr>
          <w:rFonts w:hint="eastAsia" w:ascii="Calibri" w:hAnsi="Calibri" w:eastAsia="宋体" w:cs="Times New Roman"/>
          <w:sz w:val="28"/>
          <w:szCs w:val="28"/>
        </w:rPr>
        <w:t>2016年决算总支出2,966.33万元，其中工资福利支出1,120.54万元、商品和服务支出1,585.90万元、对个人和家庭的补助257.89万元、其他资本性支出2.00万元。上述决算总支出中基本支出1,688.48万元，项目支出1,277.85元。</w:t>
      </w:r>
    </w:p>
    <w:p>
      <w:pPr>
        <w:pStyle w:val="3"/>
        <w:ind w:firstLine="627" w:firstLineChars="196"/>
        <w:rPr>
          <w:kern w:val="0"/>
        </w:rPr>
      </w:pPr>
      <w:r>
        <w:rPr>
          <w:rFonts w:hint="eastAsia"/>
          <w:kern w:val="0"/>
        </w:rPr>
        <w:t>二、部门整体支出管理及使用情况</w:t>
      </w:r>
      <w:bookmarkEnd w:id="1"/>
    </w:p>
    <w:p>
      <w:pPr>
        <w:spacing w:line="600" w:lineRule="exact"/>
        <w:jc w:val="both"/>
        <w:rPr>
          <w:sz w:val="28"/>
          <w:szCs w:val="28"/>
        </w:rPr>
      </w:pPr>
      <w:r>
        <w:rPr>
          <w:rFonts w:hint="eastAsia"/>
          <w:sz w:val="28"/>
          <w:szCs w:val="28"/>
          <w:lang w:val="en-US" w:eastAsia="zh-CN"/>
        </w:rPr>
        <w:t xml:space="preserve">    </w:t>
      </w:r>
      <w:r>
        <w:rPr>
          <w:rFonts w:hint="eastAsia"/>
          <w:sz w:val="28"/>
          <w:szCs w:val="28"/>
        </w:rPr>
        <w:t>根据《会计法》、《预算法》、《行政单位财务规则》等法律和财政部及省财政厅有关财务规章的规定，先后制订了湘《湖南省妇联机关财务管理暂行规定》（湘妇办[2015]14号），办法明确了经费审批程序及权限，经费预算管理、财务经费管理、财务监督等。针对提高资产管理效益制订了《湖南省妇联国有资产管理办法》、《湖南省妇联差旅费报销办法》、《湖南省妇联办公用品采购暂行规定》（湘妇办[2016]35号），明确了相应原则和要求、开支范围、程序、办法及标准、审批权限等。上述制度规定基本得到执行。</w:t>
      </w:r>
      <w:r>
        <w:rPr>
          <w:rFonts w:hint="eastAsia"/>
          <w:sz w:val="28"/>
          <w:szCs w:val="28"/>
          <w:lang w:val="en-US" w:eastAsia="zh-CN"/>
        </w:rPr>
        <w:t xml:space="preserve"> </w:t>
      </w:r>
    </w:p>
    <w:p>
      <w:pPr>
        <w:widowControl/>
        <w:snapToGrid w:val="0"/>
        <w:spacing w:before="100" w:beforeAutospacing="1" w:after="100" w:afterAutospacing="1" w:line="600" w:lineRule="exact"/>
        <w:ind w:firstLine="560" w:firstLineChars="200"/>
        <w:jc w:val="left"/>
        <w:rPr>
          <w:sz w:val="28"/>
          <w:szCs w:val="28"/>
        </w:rPr>
      </w:pPr>
      <w:r>
        <w:rPr>
          <w:rFonts w:hint="eastAsia"/>
          <w:sz w:val="28"/>
          <w:szCs w:val="28"/>
        </w:rPr>
        <w:t>（一）基本支出</w:t>
      </w:r>
    </w:p>
    <w:p>
      <w:pPr>
        <w:widowControl/>
        <w:snapToGrid w:val="0"/>
        <w:spacing w:line="600" w:lineRule="exact"/>
        <w:ind w:firstLine="560" w:firstLineChars="200"/>
        <w:jc w:val="left"/>
        <w:rPr>
          <w:sz w:val="28"/>
          <w:szCs w:val="28"/>
        </w:rPr>
      </w:pPr>
      <w:r>
        <w:rPr>
          <w:rFonts w:hint="eastAsia"/>
          <w:sz w:val="28"/>
          <w:szCs w:val="28"/>
        </w:rPr>
        <w:t>基本支出用于为保障机构正常运转、完成日常工作任务而发生的支出，包括人员经费和公用经费。</w:t>
      </w:r>
    </w:p>
    <w:p>
      <w:pPr>
        <w:spacing w:line="600" w:lineRule="exact"/>
        <w:ind w:firstLine="560" w:firstLineChars="200"/>
        <w:jc w:val="left"/>
        <w:rPr>
          <w:sz w:val="28"/>
          <w:szCs w:val="28"/>
        </w:rPr>
      </w:pPr>
      <w:r>
        <w:rPr>
          <w:rFonts w:hint="eastAsia"/>
          <w:sz w:val="28"/>
          <w:szCs w:val="28"/>
        </w:rPr>
        <w:t>2016年年初预算批复的基本支出为1</w:t>
      </w:r>
      <w:r>
        <w:rPr>
          <w:rFonts w:hint="eastAsia" w:ascii="Calibri" w:hAnsi="Calibri" w:eastAsia="宋体" w:cs="Times New Roman"/>
          <w:sz w:val="28"/>
          <w:szCs w:val="28"/>
        </w:rPr>
        <w:t>,</w:t>
      </w:r>
      <w:r>
        <w:rPr>
          <w:rFonts w:hint="eastAsia"/>
          <w:sz w:val="28"/>
          <w:szCs w:val="28"/>
        </w:rPr>
        <w:t>320.79万元，年中预算调整追加（含上年结转金额）534.38万元，全年指标共计1,855.17万元，本年基本支出指标结余460.26万元。</w:t>
      </w:r>
    </w:p>
    <w:p>
      <w:pPr>
        <w:spacing w:line="600" w:lineRule="exact"/>
        <w:ind w:firstLine="560" w:firstLineChars="200"/>
        <w:jc w:val="left"/>
        <w:rPr>
          <w:sz w:val="28"/>
          <w:szCs w:val="28"/>
        </w:rPr>
      </w:pPr>
      <w:r>
        <w:rPr>
          <w:rFonts w:hint="eastAsia"/>
          <w:sz w:val="28"/>
          <w:szCs w:val="28"/>
        </w:rPr>
        <w:t>2016年决算支出1,688.48万元，其中：工资福利性支出1,110.95万元；商品和服务支出332.64万元、对个人和家庭的补助242.89万元、其他资本性支出2.00万元。</w:t>
      </w:r>
    </w:p>
    <w:p>
      <w:pPr>
        <w:widowControl/>
        <w:snapToGrid w:val="0"/>
        <w:spacing w:before="100" w:beforeAutospacing="1" w:after="100" w:afterAutospacing="1" w:line="600" w:lineRule="exact"/>
        <w:ind w:firstLine="560" w:firstLineChars="200"/>
        <w:jc w:val="left"/>
        <w:rPr>
          <w:sz w:val="28"/>
          <w:szCs w:val="28"/>
        </w:rPr>
      </w:pPr>
      <w:r>
        <w:rPr>
          <w:rFonts w:hint="eastAsia"/>
          <w:sz w:val="28"/>
          <w:szCs w:val="28"/>
        </w:rPr>
        <w:t>（二）项目支出</w:t>
      </w:r>
    </w:p>
    <w:p>
      <w:pPr>
        <w:widowControl/>
        <w:snapToGrid w:val="0"/>
        <w:spacing w:line="600" w:lineRule="exact"/>
        <w:ind w:firstLine="560" w:firstLineChars="200"/>
        <w:rPr>
          <w:sz w:val="28"/>
          <w:szCs w:val="28"/>
        </w:rPr>
      </w:pPr>
      <w:r>
        <w:rPr>
          <w:rFonts w:hint="eastAsia"/>
          <w:sz w:val="28"/>
          <w:szCs w:val="28"/>
        </w:rPr>
        <w:t>项目支出是在基本支出之外为完成其特定的行政工作任务而发生的支出，主要用于业务工作专项、运行维护专项等。</w:t>
      </w:r>
    </w:p>
    <w:p>
      <w:pPr>
        <w:widowControl/>
        <w:snapToGrid w:val="0"/>
        <w:spacing w:line="600" w:lineRule="exact"/>
        <w:ind w:firstLine="560" w:firstLineChars="200"/>
        <w:rPr>
          <w:sz w:val="28"/>
          <w:szCs w:val="28"/>
        </w:rPr>
      </w:pPr>
      <w:r>
        <w:rPr>
          <w:rFonts w:hint="eastAsia"/>
          <w:sz w:val="28"/>
          <w:szCs w:val="28"/>
        </w:rPr>
        <w:t>2016年年初预算批复的项目支出为124.24万元，年中预算调整追加（含上年结转金额）2,188.84万元，全年预算共计2,312.38万元，本年项目支出指标结余741.60万元。</w:t>
      </w:r>
    </w:p>
    <w:p>
      <w:pPr>
        <w:spacing w:line="600" w:lineRule="exact"/>
        <w:ind w:firstLine="420" w:firstLineChars="150"/>
        <w:rPr>
          <w:sz w:val="28"/>
          <w:szCs w:val="28"/>
          <w:highlight w:val="yellow"/>
        </w:rPr>
      </w:pPr>
      <w:r>
        <w:rPr>
          <w:rFonts w:hint="eastAsia"/>
          <w:sz w:val="28"/>
          <w:szCs w:val="28"/>
        </w:rPr>
        <w:t>2016年决算的项目支出为1,277.85万元，其中：</w:t>
      </w:r>
      <w:r>
        <w:rPr>
          <w:rFonts w:hint="eastAsia"/>
          <w:sz w:val="28"/>
          <w:szCs w:val="28"/>
          <w:lang w:eastAsia="zh-CN"/>
        </w:rPr>
        <w:t>工资</w:t>
      </w:r>
      <w:r>
        <w:rPr>
          <w:rFonts w:hint="eastAsia"/>
          <w:sz w:val="28"/>
          <w:szCs w:val="28"/>
        </w:rPr>
        <w:t>福利性支出9.60万元；商品和服务支出1,253.25万元；对个人和家庭的补助15.00万元。</w:t>
      </w:r>
    </w:p>
    <w:p>
      <w:pPr>
        <w:widowControl/>
        <w:snapToGrid w:val="0"/>
        <w:spacing w:before="100" w:beforeAutospacing="1" w:after="100" w:afterAutospacing="1" w:line="600" w:lineRule="exact"/>
        <w:ind w:firstLine="560" w:firstLineChars="200"/>
        <w:jc w:val="left"/>
        <w:rPr>
          <w:sz w:val="28"/>
          <w:szCs w:val="28"/>
        </w:rPr>
      </w:pPr>
      <w:r>
        <w:rPr>
          <w:rFonts w:hint="eastAsia"/>
          <w:sz w:val="28"/>
          <w:szCs w:val="28"/>
        </w:rPr>
        <w:t>（三）“三公”经费情况</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left"/>
        <w:textAlignment w:val="auto"/>
        <w:outlineLvl w:val="9"/>
        <w:rPr>
          <w:sz w:val="28"/>
          <w:szCs w:val="28"/>
          <w:highlight w:val="none"/>
        </w:rPr>
      </w:pPr>
      <w:bookmarkStart w:id="2" w:name="_Toc461453652"/>
      <w:r>
        <w:rPr>
          <w:rFonts w:hint="eastAsia"/>
          <w:sz w:val="28"/>
          <w:szCs w:val="28"/>
          <w:highlight w:val="none"/>
        </w:rPr>
        <w:t>2016年</w:t>
      </w:r>
      <w:r>
        <w:rPr>
          <w:rFonts w:hint="eastAsia"/>
          <w:sz w:val="28"/>
          <w:szCs w:val="28"/>
          <w:highlight w:val="none"/>
          <w:lang w:eastAsia="zh-CN"/>
        </w:rPr>
        <w:t>年初批复的</w:t>
      </w:r>
      <w:r>
        <w:rPr>
          <w:rFonts w:hint="eastAsia"/>
          <w:sz w:val="28"/>
          <w:szCs w:val="28"/>
          <w:highlight w:val="none"/>
        </w:rPr>
        <w:t>“三公”经费为</w:t>
      </w:r>
      <w:r>
        <w:rPr>
          <w:rFonts w:hint="eastAsia"/>
          <w:sz w:val="28"/>
          <w:szCs w:val="28"/>
          <w:highlight w:val="none"/>
          <w:lang w:val="en-US" w:eastAsia="zh-CN"/>
        </w:rPr>
        <w:t>61.70</w:t>
      </w:r>
      <w:r>
        <w:rPr>
          <w:rFonts w:hint="eastAsia"/>
          <w:sz w:val="28"/>
          <w:szCs w:val="28"/>
          <w:highlight w:val="none"/>
        </w:rPr>
        <w:t>万元，</w:t>
      </w:r>
      <w:r>
        <w:rPr>
          <w:rFonts w:hint="eastAsia"/>
          <w:sz w:val="28"/>
          <w:szCs w:val="28"/>
          <w:highlight w:val="none"/>
          <w:lang w:eastAsia="zh-CN"/>
        </w:rPr>
        <w:t>预算总额为</w:t>
      </w:r>
      <w:r>
        <w:rPr>
          <w:rFonts w:hint="eastAsia"/>
          <w:sz w:val="28"/>
          <w:szCs w:val="28"/>
          <w:highlight w:val="none"/>
          <w:lang w:val="en-US" w:eastAsia="zh-CN"/>
        </w:rPr>
        <w:t>63.70万元，</w:t>
      </w:r>
      <w:r>
        <w:rPr>
          <w:rFonts w:hint="eastAsia"/>
          <w:sz w:val="28"/>
          <w:szCs w:val="28"/>
          <w:highlight w:val="none"/>
        </w:rPr>
        <w:t>其中</w:t>
      </w:r>
      <w:r>
        <w:rPr>
          <w:rFonts w:hint="eastAsia"/>
          <w:sz w:val="28"/>
          <w:szCs w:val="28"/>
          <w:highlight w:val="none"/>
          <w:lang w:eastAsia="zh-CN"/>
        </w:rPr>
        <w:t>：</w:t>
      </w:r>
      <w:r>
        <w:rPr>
          <w:rFonts w:hint="eastAsia"/>
          <w:sz w:val="28"/>
          <w:szCs w:val="28"/>
          <w:highlight w:val="none"/>
        </w:rPr>
        <w:t>因公出国（境）费用</w:t>
      </w:r>
      <w:r>
        <w:rPr>
          <w:rFonts w:hint="eastAsia"/>
          <w:sz w:val="28"/>
          <w:szCs w:val="28"/>
          <w:highlight w:val="none"/>
          <w:lang w:val="en-US" w:eastAsia="zh-CN"/>
        </w:rPr>
        <w:t>15.00</w:t>
      </w:r>
      <w:r>
        <w:rPr>
          <w:rFonts w:hint="eastAsia"/>
          <w:sz w:val="28"/>
          <w:szCs w:val="28"/>
          <w:highlight w:val="none"/>
        </w:rPr>
        <w:t>万元、公务用车购置及运行费</w:t>
      </w:r>
      <w:r>
        <w:rPr>
          <w:rFonts w:hint="eastAsia"/>
          <w:sz w:val="28"/>
          <w:szCs w:val="28"/>
          <w:highlight w:val="none"/>
          <w:lang w:val="en-US" w:eastAsia="zh-CN"/>
        </w:rPr>
        <w:t>27.5</w:t>
      </w:r>
      <w:r>
        <w:rPr>
          <w:rFonts w:hint="eastAsia"/>
          <w:sz w:val="28"/>
          <w:szCs w:val="28"/>
          <w:highlight w:val="none"/>
        </w:rPr>
        <w:t>0万元</w:t>
      </w:r>
      <w:r>
        <w:rPr>
          <w:rFonts w:hint="eastAsia"/>
          <w:sz w:val="28"/>
          <w:szCs w:val="28"/>
          <w:highlight w:val="none"/>
          <w:lang w:eastAsia="zh-CN"/>
        </w:rPr>
        <w:t>、</w:t>
      </w:r>
      <w:r>
        <w:rPr>
          <w:rFonts w:hint="eastAsia"/>
          <w:sz w:val="28"/>
          <w:szCs w:val="28"/>
          <w:highlight w:val="none"/>
        </w:rPr>
        <w:t>公务接待费</w:t>
      </w:r>
      <w:r>
        <w:rPr>
          <w:rFonts w:hint="eastAsia"/>
          <w:sz w:val="28"/>
          <w:szCs w:val="28"/>
          <w:highlight w:val="none"/>
          <w:lang w:val="en-US" w:eastAsia="zh-CN"/>
        </w:rPr>
        <w:t>21.20</w:t>
      </w:r>
      <w:r>
        <w:rPr>
          <w:rFonts w:hint="eastAsia"/>
          <w:sz w:val="28"/>
          <w:szCs w:val="28"/>
          <w:highlight w:val="none"/>
        </w:rPr>
        <w:t>万元。</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left"/>
        <w:textAlignment w:val="auto"/>
        <w:outlineLvl w:val="9"/>
        <w:rPr>
          <w:rFonts w:hint="eastAsia"/>
          <w:sz w:val="28"/>
          <w:szCs w:val="28"/>
          <w:highlight w:val="none"/>
        </w:rPr>
      </w:pPr>
      <w:r>
        <w:rPr>
          <w:rFonts w:hint="eastAsia"/>
          <w:sz w:val="28"/>
          <w:szCs w:val="28"/>
          <w:highlight w:val="none"/>
        </w:rPr>
        <w:t>全年决算支出“三公”经费</w:t>
      </w:r>
      <w:r>
        <w:rPr>
          <w:rFonts w:hint="eastAsia"/>
          <w:sz w:val="28"/>
          <w:szCs w:val="28"/>
          <w:highlight w:val="none"/>
          <w:lang w:val="en-US" w:eastAsia="zh-CN"/>
        </w:rPr>
        <w:t>35.56</w:t>
      </w:r>
      <w:r>
        <w:rPr>
          <w:rFonts w:hint="eastAsia"/>
          <w:sz w:val="28"/>
          <w:szCs w:val="28"/>
          <w:highlight w:val="none"/>
        </w:rPr>
        <w:t>万元，公务用车购置及运行费</w:t>
      </w:r>
      <w:r>
        <w:rPr>
          <w:rFonts w:hint="eastAsia"/>
          <w:sz w:val="28"/>
          <w:szCs w:val="28"/>
          <w:highlight w:val="none"/>
          <w:lang w:val="en-US" w:eastAsia="zh-CN"/>
        </w:rPr>
        <w:t>25.50</w:t>
      </w:r>
      <w:r>
        <w:rPr>
          <w:rFonts w:hint="eastAsia"/>
          <w:sz w:val="28"/>
          <w:szCs w:val="28"/>
          <w:highlight w:val="none"/>
        </w:rPr>
        <w:t>万元</w:t>
      </w:r>
      <w:r>
        <w:rPr>
          <w:rFonts w:hint="eastAsia"/>
          <w:sz w:val="28"/>
          <w:szCs w:val="28"/>
          <w:highlight w:val="none"/>
          <w:lang w:eastAsia="zh-CN"/>
        </w:rPr>
        <w:t>、</w:t>
      </w:r>
      <w:r>
        <w:rPr>
          <w:rFonts w:hint="eastAsia"/>
          <w:sz w:val="28"/>
          <w:szCs w:val="28"/>
          <w:highlight w:val="none"/>
        </w:rPr>
        <w:t>其中公务接待费</w:t>
      </w:r>
      <w:r>
        <w:rPr>
          <w:rFonts w:hint="eastAsia"/>
          <w:sz w:val="28"/>
          <w:szCs w:val="28"/>
          <w:highlight w:val="none"/>
          <w:lang w:val="en-US" w:eastAsia="zh-CN"/>
        </w:rPr>
        <w:t>10.06</w:t>
      </w:r>
      <w:r>
        <w:rPr>
          <w:rFonts w:hint="eastAsia"/>
          <w:sz w:val="28"/>
          <w:szCs w:val="28"/>
          <w:highlight w:val="none"/>
        </w:rPr>
        <w:t>万元</w:t>
      </w:r>
      <w:r>
        <w:rPr>
          <w:rFonts w:hint="eastAsia"/>
          <w:sz w:val="28"/>
          <w:szCs w:val="28"/>
          <w:highlight w:val="none"/>
          <w:lang w:eastAsia="zh-CN"/>
        </w:rPr>
        <w:t>。</w:t>
      </w:r>
      <w:r>
        <w:rPr>
          <w:rFonts w:hint="eastAsia"/>
          <w:sz w:val="28"/>
          <w:szCs w:val="28"/>
          <w:highlight w:val="none"/>
        </w:rPr>
        <w:t>较2015年总额</w:t>
      </w:r>
      <w:r>
        <w:rPr>
          <w:rFonts w:hint="eastAsia"/>
          <w:sz w:val="28"/>
          <w:szCs w:val="28"/>
          <w:highlight w:val="none"/>
          <w:lang w:eastAsia="zh-CN"/>
        </w:rPr>
        <w:t>下降</w:t>
      </w:r>
      <w:r>
        <w:rPr>
          <w:rFonts w:hint="eastAsia"/>
          <w:sz w:val="28"/>
          <w:szCs w:val="28"/>
          <w:highlight w:val="none"/>
          <w:lang w:val="en-US" w:eastAsia="zh-CN"/>
        </w:rPr>
        <w:t>60.89</w:t>
      </w:r>
      <w:r>
        <w:rPr>
          <w:rFonts w:hint="eastAsia"/>
          <w:sz w:val="28"/>
          <w:szCs w:val="28"/>
          <w:highlight w:val="none"/>
        </w:rPr>
        <w:t>万元，</w:t>
      </w:r>
      <w:r>
        <w:rPr>
          <w:rFonts w:hint="eastAsia"/>
          <w:sz w:val="28"/>
          <w:szCs w:val="28"/>
          <w:highlight w:val="none"/>
          <w:lang w:eastAsia="zh-CN"/>
        </w:rPr>
        <w:t>下降</w:t>
      </w:r>
      <w:r>
        <w:rPr>
          <w:rFonts w:hint="eastAsia"/>
          <w:sz w:val="28"/>
          <w:szCs w:val="28"/>
          <w:highlight w:val="none"/>
          <w:lang w:val="en-US" w:eastAsia="zh-CN"/>
        </w:rPr>
        <w:t>63.13</w:t>
      </w:r>
      <w:r>
        <w:rPr>
          <w:rFonts w:hint="eastAsia"/>
          <w:sz w:val="28"/>
          <w:szCs w:val="28"/>
          <w:highlight w:val="none"/>
        </w:rPr>
        <w:t>%；较预算总额</w:t>
      </w:r>
      <w:r>
        <w:rPr>
          <w:rFonts w:hint="eastAsia"/>
          <w:sz w:val="28"/>
          <w:szCs w:val="28"/>
          <w:highlight w:val="none"/>
          <w:lang w:eastAsia="zh-CN"/>
        </w:rPr>
        <w:t>节约</w:t>
      </w:r>
      <w:r>
        <w:rPr>
          <w:rFonts w:hint="eastAsia"/>
          <w:sz w:val="28"/>
          <w:szCs w:val="28"/>
          <w:highlight w:val="none"/>
          <w:lang w:val="en-US" w:eastAsia="zh-CN"/>
        </w:rPr>
        <w:t>28.14</w:t>
      </w:r>
      <w:r>
        <w:rPr>
          <w:rFonts w:hint="eastAsia"/>
          <w:sz w:val="28"/>
          <w:szCs w:val="28"/>
          <w:highlight w:val="none"/>
        </w:rPr>
        <w:t>万元，占比</w:t>
      </w:r>
      <w:r>
        <w:rPr>
          <w:rFonts w:hint="eastAsia"/>
          <w:sz w:val="28"/>
          <w:szCs w:val="28"/>
          <w:highlight w:val="none"/>
          <w:lang w:val="en-US" w:eastAsia="zh-CN"/>
        </w:rPr>
        <w:t>44.18</w:t>
      </w:r>
      <w:r>
        <w:rPr>
          <w:rFonts w:hint="eastAsia"/>
          <w:sz w:val="28"/>
          <w:szCs w:val="28"/>
          <w:highlight w:val="none"/>
        </w:rPr>
        <w:t>%。具体情况如下：</w:t>
      </w:r>
    </w:p>
    <w:p>
      <w:pPr>
        <w:widowControl/>
        <w:jc w:val="right"/>
        <w:rPr>
          <w:szCs w:val="21"/>
        </w:rPr>
      </w:pPr>
      <w:r>
        <w:rPr>
          <w:rFonts w:hint="eastAsia" w:ascii="仿宋_GB2312" w:hAnsi="宋体" w:eastAsia="仿宋_GB2312" w:cs="宋体"/>
          <w:color w:val="000000"/>
          <w:kern w:val="0"/>
          <w:sz w:val="24"/>
          <w:szCs w:val="24"/>
        </w:rPr>
        <w:t>金额单位：万元</w:t>
      </w:r>
    </w:p>
    <w:tbl>
      <w:tblPr>
        <w:tblStyle w:val="27"/>
        <w:tblW w:w="8528"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02"/>
        <w:gridCol w:w="991"/>
        <w:gridCol w:w="1134"/>
        <w:gridCol w:w="1206"/>
        <w:gridCol w:w="1206"/>
        <w:gridCol w:w="1189"/>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blHeader/>
        </w:trPr>
        <w:tc>
          <w:tcPr>
            <w:tcW w:w="2802" w:type="dxa"/>
            <w:vMerge w:val="restart"/>
            <w:shd w:val="clear" w:color="auto" w:fill="auto"/>
            <w:vAlign w:val="center"/>
          </w:tcPr>
          <w:p>
            <w:pPr>
              <w:widowControl/>
              <w:jc w:val="center"/>
              <w:textAlignment w:val="center"/>
              <w:rPr>
                <w:rFonts w:ascii="仿宋_GB2312" w:hAnsi="宋体" w:eastAsia="仿宋_GB2312" w:cs="宋体"/>
                <w:b/>
                <w:bCs/>
                <w:color w:val="000000"/>
                <w:kern w:val="0"/>
                <w:sz w:val="24"/>
                <w:szCs w:val="24"/>
              </w:rPr>
            </w:pPr>
            <w:r>
              <w:rPr>
                <w:rFonts w:ascii="仿宋_GB2312" w:hAnsi="宋体" w:eastAsia="仿宋_GB2312" w:cs="仿宋_GB2312"/>
                <w:b/>
                <w:bCs/>
                <w:color w:val="000000"/>
                <w:kern w:val="0"/>
                <w:sz w:val="20"/>
                <w:szCs w:val="20"/>
                <w:lang w:bidi="ar"/>
              </w:rPr>
              <w:t>项目</w:t>
            </w:r>
          </w:p>
        </w:tc>
        <w:tc>
          <w:tcPr>
            <w:tcW w:w="991" w:type="dxa"/>
            <w:vMerge w:val="restart"/>
            <w:shd w:val="clear" w:color="auto" w:fill="auto"/>
            <w:vAlign w:val="center"/>
          </w:tcPr>
          <w:p>
            <w:pPr>
              <w:widowControl/>
              <w:jc w:val="center"/>
              <w:textAlignment w:val="center"/>
              <w:rPr>
                <w:rFonts w:ascii="仿宋_GB2312" w:hAnsi="宋体" w:eastAsia="仿宋_GB2312" w:cs="宋体"/>
                <w:b/>
                <w:bCs/>
                <w:color w:val="000000"/>
                <w:kern w:val="0"/>
                <w:sz w:val="24"/>
                <w:szCs w:val="24"/>
              </w:rPr>
            </w:pPr>
            <w:r>
              <w:rPr>
                <w:rFonts w:ascii="仿宋_GB2312" w:hAnsi="宋体" w:eastAsia="仿宋_GB2312" w:cs="仿宋_GB2312"/>
                <w:b/>
                <w:bCs/>
                <w:color w:val="000000"/>
                <w:kern w:val="0"/>
                <w:sz w:val="20"/>
                <w:szCs w:val="20"/>
                <w:lang w:bidi="ar"/>
              </w:rPr>
              <w:t>预算</w:t>
            </w:r>
            <w:r>
              <w:rPr>
                <w:rFonts w:hint="eastAsia" w:ascii="仿宋_GB2312" w:hAnsi="宋体" w:eastAsia="仿宋_GB2312" w:cs="仿宋_GB2312"/>
                <w:b/>
                <w:bCs/>
                <w:color w:val="000000"/>
                <w:kern w:val="0"/>
                <w:sz w:val="20"/>
                <w:szCs w:val="20"/>
                <w:lang w:bidi="ar"/>
              </w:rPr>
              <w:t>数</w:t>
            </w:r>
          </w:p>
        </w:tc>
        <w:tc>
          <w:tcPr>
            <w:tcW w:w="1134" w:type="dxa"/>
            <w:vMerge w:val="restart"/>
            <w:shd w:val="clear" w:color="auto" w:fill="auto"/>
            <w:vAlign w:val="center"/>
          </w:tcPr>
          <w:p>
            <w:pPr>
              <w:widowControl/>
              <w:jc w:val="center"/>
              <w:textAlignment w:val="center"/>
              <w:rPr>
                <w:rFonts w:ascii="仿宋_GB2312" w:hAnsi="宋体" w:eastAsia="仿宋_GB2312" w:cs="宋体"/>
                <w:b/>
                <w:bCs/>
                <w:color w:val="000000"/>
                <w:kern w:val="0"/>
                <w:sz w:val="24"/>
                <w:szCs w:val="24"/>
              </w:rPr>
            </w:pPr>
            <w:r>
              <w:rPr>
                <w:rFonts w:ascii="仿宋_GB2312" w:hAnsi="宋体" w:eastAsia="仿宋_GB2312" w:cs="仿宋_GB2312"/>
                <w:b/>
                <w:bCs/>
                <w:color w:val="000000"/>
                <w:kern w:val="0"/>
                <w:sz w:val="20"/>
                <w:szCs w:val="20"/>
                <w:lang w:bidi="ar"/>
              </w:rPr>
              <w:t>决算</w:t>
            </w:r>
            <w:r>
              <w:rPr>
                <w:rFonts w:hint="eastAsia" w:ascii="仿宋_GB2312" w:hAnsi="宋体" w:eastAsia="仿宋_GB2312" w:cs="仿宋_GB2312"/>
                <w:b/>
                <w:bCs/>
                <w:color w:val="000000"/>
                <w:kern w:val="0"/>
                <w:sz w:val="20"/>
                <w:szCs w:val="20"/>
                <w:lang w:bidi="ar"/>
              </w:rPr>
              <w:t>数</w:t>
            </w:r>
          </w:p>
        </w:tc>
        <w:tc>
          <w:tcPr>
            <w:tcW w:w="2412" w:type="dxa"/>
            <w:gridSpan w:val="2"/>
            <w:shd w:val="clear" w:color="auto" w:fill="auto"/>
            <w:vAlign w:val="center"/>
          </w:tcPr>
          <w:p>
            <w:pPr>
              <w:widowControl/>
              <w:jc w:val="center"/>
              <w:textAlignment w:val="center"/>
              <w:rPr>
                <w:rFonts w:ascii="仿宋_GB2312" w:hAnsi="宋体" w:eastAsia="仿宋_GB2312" w:cs="宋体"/>
                <w:b/>
                <w:bCs/>
                <w:color w:val="000000"/>
                <w:kern w:val="0"/>
                <w:sz w:val="24"/>
                <w:szCs w:val="24"/>
              </w:rPr>
            </w:pPr>
            <w:r>
              <w:rPr>
                <w:rFonts w:ascii="仿宋_GB2312" w:hAnsi="宋体" w:eastAsia="仿宋_GB2312" w:cs="仿宋_GB2312"/>
                <w:b/>
                <w:bCs/>
                <w:color w:val="000000"/>
                <w:kern w:val="0"/>
                <w:sz w:val="20"/>
                <w:szCs w:val="20"/>
                <w:lang w:bidi="ar"/>
              </w:rPr>
              <w:t>超预算（负数为节约）</w:t>
            </w:r>
          </w:p>
        </w:tc>
        <w:tc>
          <w:tcPr>
            <w:tcW w:w="1189" w:type="dxa"/>
            <w:vMerge w:val="restart"/>
            <w:shd w:val="clear" w:color="auto" w:fill="auto"/>
            <w:vAlign w:val="center"/>
          </w:tcPr>
          <w:p>
            <w:pPr>
              <w:widowControl/>
              <w:jc w:val="center"/>
              <w:textAlignment w:val="center"/>
              <w:rPr>
                <w:rFonts w:ascii="仿宋_GB2312" w:hAnsi="宋体" w:eastAsia="仿宋_GB2312" w:cs="宋体"/>
                <w:b/>
                <w:bCs/>
                <w:color w:val="000000"/>
                <w:kern w:val="0"/>
                <w:sz w:val="24"/>
                <w:szCs w:val="24"/>
              </w:rPr>
            </w:pPr>
            <w:r>
              <w:rPr>
                <w:rFonts w:ascii="仿宋_GB2312" w:hAnsi="宋体" w:eastAsia="仿宋_GB2312" w:cs="仿宋_GB2312"/>
                <w:b/>
                <w:bCs/>
                <w:color w:val="000000"/>
                <w:kern w:val="0"/>
                <w:sz w:val="20"/>
                <w:szCs w:val="20"/>
                <w:lang w:bidi="ar"/>
              </w:rPr>
              <w:t>2015年决算</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blHeader/>
        </w:trPr>
        <w:tc>
          <w:tcPr>
            <w:tcW w:w="2802" w:type="dxa"/>
            <w:vMerge w:val="continue"/>
            <w:vAlign w:val="center"/>
          </w:tcPr>
          <w:p>
            <w:pPr>
              <w:jc w:val="center"/>
              <w:rPr>
                <w:rFonts w:ascii="仿宋_GB2312" w:hAnsi="宋体" w:eastAsia="仿宋_GB2312" w:cs="宋体"/>
                <w:b/>
                <w:bCs/>
                <w:color w:val="000000"/>
                <w:kern w:val="0"/>
                <w:sz w:val="24"/>
                <w:szCs w:val="24"/>
              </w:rPr>
            </w:pPr>
          </w:p>
        </w:tc>
        <w:tc>
          <w:tcPr>
            <w:tcW w:w="991" w:type="dxa"/>
            <w:vMerge w:val="continue"/>
            <w:vAlign w:val="center"/>
          </w:tcPr>
          <w:p>
            <w:pPr>
              <w:jc w:val="center"/>
              <w:rPr>
                <w:rFonts w:ascii="仿宋_GB2312" w:hAnsi="宋体" w:eastAsia="仿宋_GB2312" w:cs="宋体"/>
                <w:b/>
                <w:bCs/>
                <w:color w:val="000000"/>
                <w:kern w:val="0"/>
                <w:sz w:val="24"/>
                <w:szCs w:val="24"/>
              </w:rPr>
            </w:pPr>
          </w:p>
        </w:tc>
        <w:tc>
          <w:tcPr>
            <w:tcW w:w="1134" w:type="dxa"/>
            <w:vMerge w:val="continue"/>
            <w:vAlign w:val="center"/>
          </w:tcPr>
          <w:p>
            <w:pPr>
              <w:jc w:val="center"/>
              <w:rPr>
                <w:rFonts w:ascii="仿宋_GB2312" w:hAnsi="宋体" w:eastAsia="仿宋_GB2312" w:cs="宋体"/>
                <w:b/>
                <w:bCs/>
                <w:color w:val="000000"/>
                <w:kern w:val="0"/>
                <w:sz w:val="24"/>
                <w:szCs w:val="24"/>
              </w:rPr>
            </w:pPr>
          </w:p>
        </w:tc>
        <w:tc>
          <w:tcPr>
            <w:tcW w:w="1206" w:type="dxa"/>
            <w:shd w:val="clear" w:color="auto" w:fill="auto"/>
            <w:vAlign w:val="center"/>
          </w:tcPr>
          <w:p>
            <w:pPr>
              <w:widowControl/>
              <w:jc w:val="center"/>
              <w:textAlignment w:val="center"/>
              <w:rPr>
                <w:rFonts w:ascii="仿宋_GB2312" w:hAnsi="宋体" w:eastAsia="仿宋_GB2312" w:cs="宋体"/>
                <w:b/>
                <w:bCs/>
                <w:color w:val="000000"/>
                <w:kern w:val="0"/>
                <w:sz w:val="24"/>
                <w:szCs w:val="24"/>
              </w:rPr>
            </w:pPr>
            <w:r>
              <w:rPr>
                <w:rFonts w:ascii="仿宋_GB2312" w:hAnsi="宋体" w:eastAsia="仿宋_GB2312" w:cs="仿宋_GB2312"/>
                <w:b/>
                <w:bCs/>
                <w:color w:val="000000"/>
                <w:kern w:val="0"/>
                <w:sz w:val="20"/>
                <w:szCs w:val="20"/>
                <w:lang w:bidi="ar"/>
              </w:rPr>
              <w:t>金额</w:t>
            </w:r>
          </w:p>
        </w:tc>
        <w:tc>
          <w:tcPr>
            <w:tcW w:w="1206" w:type="dxa"/>
            <w:shd w:val="clear" w:color="auto" w:fill="auto"/>
            <w:vAlign w:val="center"/>
          </w:tcPr>
          <w:p>
            <w:pPr>
              <w:widowControl/>
              <w:jc w:val="center"/>
              <w:textAlignment w:val="center"/>
              <w:rPr>
                <w:rFonts w:ascii="仿宋_GB2312" w:hAnsi="宋体" w:eastAsia="仿宋_GB2312" w:cs="宋体"/>
                <w:b/>
                <w:bCs/>
                <w:color w:val="000000"/>
                <w:kern w:val="0"/>
                <w:sz w:val="24"/>
                <w:szCs w:val="24"/>
              </w:rPr>
            </w:pPr>
            <w:r>
              <w:rPr>
                <w:rFonts w:ascii="仿宋_GB2312" w:hAnsi="宋体" w:eastAsia="仿宋_GB2312" w:cs="仿宋_GB2312"/>
                <w:b/>
                <w:bCs/>
                <w:color w:val="000000"/>
                <w:kern w:val="0"/>
                <w:sz w:val="20"/>
                <w:szCs w:val="20"/>
                <w:lang w:bidi="ar"/>
              </w:rPr>
              <w:t>占比</w:t>
            </w:r>
          </w:p>
        </w:tc>
        <w:tc>
          <w:tcPr>
            <w:tcW w:w="1189" w:type="dxa"/>
            <w:vMerge w:val="continue"/>
            <w:vAlign w:val="center"/>
          </w:tcPr>
          <w:p>
            <w:pPr>
              <w:jc w:val="center"/>
              <w:rPr>
                <w:rFonts w:ascii="仿宋_GB2312" w:hAnsi="宋体" w:eastAsia="仿宋_GB2312" w:cs="宋体"/>
                <w:b/>
                <w:bCs/>
                <w:color w:val="000000"/>
                <w:kern w:val="0"/>
                <w:sz w:val="24"/>
                <w:szCs w:val="24"/>
              </w:rPr>
            </w:pP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rPr>
        <w:tc>
          <w:tcPr>
            <w:tcW w:w="2802" w:type="dxa"/>
            <w:shd w:val="clear" w:color="auto" w:fill="auto"/>
            <w:vAlign w:val="center"/>
          </w:tcPr>
          <w:p>
            <w:pPr>
              <w:widowControl/>
              <w:jc w:val="left"/>
              <w:textAlignment w:val="center"/>
              <w:rPr>
                <w:rFonts w:ascii="仿宋_GB2312" w:hAnsi="宋体" w:eastAsia="仿宋_GB2312" w:cs="宋体"/>
                <w:color w:val="000000"/>
                <w:kern w:val="0"/>
                <w:sz w:val="24"/>
                <w:szCs w:val="24"/>
              </w:rPr>
            </w:pPr>
            <w:r>
              <w:rPr>
                <w:rFonts w:ascii="仿宋_GB2312" w:hAnsi="宋体" w:eastAsia="仿宋_GB2312" w:cs="仿宋_GB2312"/>
                <w:color w:val="000000"/>
                <w:kern w:val="0"/>
                <w:sz w:val="20"/>
                <w:szCs w:val="20"/>
                <w:lang w:bidi="ar"/>
              </w:rPr>
              <w:t>公务用车购置及运行费</w:t>
            </w:r>
          </w:p>
        </w:tc>
        <w:tc>
          <w:tcPr>
            <w:tcW w:w="991"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27.50 </w:t>
            </w:r>
          </w:p>
        </w:tc>
        <w:tc>
          <w:tcPr>
            <w:tcW w:w="1134"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25.50 </w:t>
            </w:r>
          </w:p>
        </w:tc>
        <w:tc>
          <w:tcPr>
            <w:tcW w:w="1206" w:type="dxa"/>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2"/>
              </w:rPr>
            </w:pPr>
            <w:r>
              <w:rPr>
                <w:rFonts w:hint="default" w:ascii="仿宋_GB2312" w:hAnsi="宋体" w:eastAsia="仿宋_GB2312" w:cs="仿宋_GB2312"/>
                <w:i w:val="0"/>
                <w:color w:val="000000"/>
                <w:kern w:val="0"/>
                <w:sz w:val="20"/>
                <w:szCs w:val="20"/>
                <w:u w:val="none"/>
                <w:lang w:val="en-US" w:eastAsia="zh-CN" w:bidi="ar"/>
              </w:rPr>
              <w:t xml:space="preserve"> -2.00 </w:t>
            </w:r>
          </w:p>
        </w:tc>
        <w:tc>
          <w:tcPr>
            <w:tcW w:w="1206" w:type="dxa"/>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2"/>
              </w:rPr>
            </w:pPr>
            <w:r>
              <w:rPr>
                <w:rFonts w:hint="default" w:ascii="仿宋_GB2312" w:hAnsi="宋体" w:eastAsia="仿宋_GB2312" w:cs="仿宋_GB2312"/>
                <w:i w:val="0"/>
                <w:color w:val="000000"/>
                <w:kern w:val="0"/>
                <w:sz w:val="20"/>
                <w:szCs w:val="20"/>
                <w:u w:val="none"/>
                <w:lang w:val="en-US" w:eastAsia="zh-CN" w:bidi="ar"/>
              </w:rPr>
              <w:t>-7.27%</w:t>
            </w:r>
          </w:p>
        </w:tc>
        <w:tc>
          <w:tcPr>
            <w:tcW w:w="1189"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62.82</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rPr>
        <w:tc>
          <w:tcPr>
            <w:tcW w:w="2802" w:type="dxa"/>
            <w:shd w:val="clear" w:color="auto" w:fill="auto"/>
            <w:vAlign w:val="center"/>
          </w:tcPr>
          <w:p>
            <w:pPr>
              <w:widowControl/>
              <w:jc w:val="left"/>
              <w:textAlignment w:val="center"/>
              <w:rPr>
                <w:rFonts w:ascii="仿宋_GB2312" w:hAnsi="宋体" w:eastAsia="仿宋_GB2312" w:cs="宋体"/>
                <w:color w:val="000000"/>
                <w:kern w:val="0"/>
                <w:sz w:val="24"/>
                <w:szCs w:val="24"/>
              </w:rPr>
            </w:pPr>
            <w:r>
              <w:rPr>
                <w:rFonts w:ascii="仿宋_GB2312" w:hAnsi="宋体" w:eastAsia="仿宋_GB2312" w:cs="仿宋_GB2312"/>
                <w:color w:val="000000"/>
                <w:kern w:val="0"/>
                <w:sz w:val="20"/>
                <w:szCs w:val="20"/>
                <w:lang w:bidi="ar"/>
              </w:rPr>
              <w:t>其中： 公务用车购置费</w:t>
            </w:r>
          </w:p>
        </w:tc>
        <w:tc>
          <w:tcPr>
            <w:tcW w:w="991" w:type="dxa"/>
            <w:shd w:val="clear" w:color="auto" w:fill="auto"/>
            <w:vAlign w:val="center"/>
          </w:tcPr>
          <w:p>
            <w:pPr>
              <w:jc w:val="right"/>
              <w:rPr>
                <w:rFonts w:ascii="仿宋_GB2312" w:eastAsia="仿宋_GB2312"/>
                <w:color w:val="000000"/>
                <w:sz w:val="22"/>
              </w:rPr>
            </w:pPr>
          </w:p>
        </w:tc>
        <w:tc>
          <w:tcPr>
            <w:tcW w:w="1134" w:type="dxa"/>
            <w:shd w:val="clear" w:color="auto" w:fill="auto"/>
            <w:vAlign w:val="center"/>
          </w:tcPr>
          <w:p>
            <w:pPr>
              <w:jc w:val="right"/>
              <w:rPr>
                <w:rFonts w:ascii="仿宋_GB2312" w:eastAsia="仿宋_GB2312"/>
                <w:color w:val="000000"/>
                <w:sz w:val="22"/>
              </w:rPr>
            </w:pPr>
          </w:p>
        </w:tc>
        <w:tc>
          <w:tcPr>
            <w:tcW w:w="1206" w:type="dxa"/>
            <w:shd w:val="clear" w:color="auto" w:fill="auto"/>
            <w:vAlign w:val="center"/>
          </w:tcPr>
          <w:p>
            <w:pPr>
              <w:jc w:val="right"/>
              <w:rPr>
                <w:rFonts w:ascii="仿宋_GB2312" w:eastAsia="仿宋_GB2312"/>
                <w:color w:val="000000"/>
                <w:sz w:val="22"/>
              </w:rPr>
            </w:pPr>
          </w:p>
        </w:tc>
        <w:tc>
          <w:tcPr>
            <w:tcW w:w="1206" w:type="dxa"/>
            <w:shd w:val="clear" w:color="auto" w:fill="auto"/>
            <w:vAlign w:val="center"/>
          </w:tcPr>
          <w:p>
            <w:pPr>
              <w:jc w:val="right"/>
              <w:rPr>
                <w:rFonts w:ascii="仿宋_GB2312" w:eastAsia="仿宋_GB2312"/>
                <w:color w:val="000000"/>
                <w:sz w:val="22"/>
              </w:rPr>
            </w:pPr>
          </w:p>
        </w:tc>
        <w:tc>
          <w:tcPr>
            <w:tcW w:w="1189" w:type="dxa"/>
            <w:shd w:val="clear" w:color="auto" w:fill="auto"/>
            <w:vAlign w:val="center"/>
          </w:tcPr>
          <w:p>
            <w:pPr>
              <w:jc w:val="right"/>
              <w:rPr>
                <w:rFonts w:ascii="仿宋_GB2312" w:eastAsia="仿宋_GB2312"/>
                <w:color w:val="000000"/>
                <w:sz w:val="22"/>
              </w:rPr>
            </w:pP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rPr>
        <w:tc>
          <w:tcPr>
            <w:tcW w:w="2802" w:type="dxa"/>
            <w:shd w:val="clear" w:color="auto" w:fill="auto"/>
            <w:vAlign w:val="center"/>
          </w:tcPr>
          <w:p>
            <w:pPr>
              <w:widowControl/>
              <w:jc w:val="left"/>
              <w:textAlignment w:val="center"/>
              <w:rPr>
                <w:rFonts w:ascii="仿宋_GB2312" w:hAnsi="宋体" w:eastAsia="仿宋_GB2312" w:cs="宋体"/>
                <w:color w:val="000000"/>
                <w:kern w:val="0"/>
                <w:sz w:val="24"/>
                <w:szCs w:val="24"/>
              </w:rPr>
            </w:pPr>
            <w:r>
              <w:rPr>
                <w:rFonts w:ascii="仿宋_GB2312" w:hAnsi="宋体" w:eastAsia="仿宋_GB2312" w:cs="仿宋_GB2312"/>
                <w:color w:val="000000"/>
                <w:kern w:val="0"/>
                <w:sz w:val="20"/>
                <w:szCs w:val="20"/>
                <w:lang w:bidi="ar"/>
              </w:rPr>
              <w:t xml:space="preserve">      公务车运行维护费</w:t>
            </w:r>
          </w:p>
        </w:tc>
        <w:tc>
          <w:tcPr>
            <w:tcW w:w="991"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highlight w:val="none"/>
                <w:u w:val="none"/>
                <w:lang w:val="en-US" w:eastAsia="zh-CN" w:bidi="ar"/>
              </w:rPr>
              <w:t xml:space="preserve"> 27.50 </w:t>
            </w:r>
          </w:p>
        </w:tc>
        <w:tc>
          <w:tcPr>
            <w:tcW w:w="1134"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25.50 </w:t>
            </w:r>
          </w:p>
        </w:tc>
        <w:tc>
          <w:tcPr>
            <w:tcW w:w="1206"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-2.00 </w:t>
            </w:r>
          </w:p>
        </w:tc>
        <w:tc>
          <w:tcPr>
            <w:tcW w:w="1206"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-7.27%</w:t>
            </w:r>
          </w:p>
        </w:tc>
        <w:tc>
          <w:tcPr>
            <w:tcW w:w="1189"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62.82</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rPr>
        <w:tc>
          <w:tcPr>
            <w:tcW w:w="2802" w:type="dxa"/>
            <w:shd w:val="clear" w:color="auto" w:fill="auto"/>
            <w:vAlign w:val="center"/>
          </w:tcPr>
          <w:p>
            <w:pPr>
              <w:widowControl/>
              <w:jc w:val="left"/>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因公出国（境）费用</w:t>
            </w:r>
          </w:p>
        </w:tc>
        <w:tc>
          <w:tcPr>
            <w:tcW w:w="991"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color w:val="000000"/>
                <w:kern w:val="0"/>
                <w:sz w:val="20"/>
                <w:szCs w:val="20"/>
                <w:lang w:bidi="ar"/>
              </w:rPr>
            </w:pPr>
            <w:r>
              <w:rPr>
                <w:rFonts w:hint="default" w:ascii="仿宋_GB2312" w:hAnsi="宋体" w:eastAsia="仿宋_GB2312" w:cs="仿宋_GB2312"/>
                <w:i w:val="0"/>
                <w:color w:val="000000"/>
                <w:kern w:val="0"/>
                <w:sz w:val="20"/>
                <w:szCs w:val="20"/>
                <w:highlight w:val="none"/>
                <w:u w:val="none"/>
                <w:lang w:val="en-US" w:eastAsia="zh-CN" w:bidi="ar"/>
              </w:rPr>
              <w:t xml:space="preserve"> 15.00 </w:t>
            </w:r>
          </w:p>
        </w:tc>
        <w:tc>
          <w:tcPr>
            <w:tcW w:w="1134" w:type="dxa"/>
            <w:shd w:val="clear" w:color="auto" w:fill="auto"/>
            <w:vAlign w:val="center"/>
          </w:tcPr>
          <w:p>
            <w:pPr>
              <w:jc w:val="right"/>
              <w:rPr>
                <w:rFonts w:ascii="仿宋_GB2312" w:hAnsi="宋体" w:eastAsia="仿宋_GB2312" w:cs="仿宋_GB2312"/>
                <w:color w:val="000000"/>
                <w:kern w:val="0"/>
                <w:sz w:val="20"/>
                <w:szCs w:val="20"/>
                <w:lang w:bidi="ar"/>
              </w:rPr>
            </w:pPr>
          </w:p>
        </w:tc>
        <w:tc>
          <w:tcPr>
            <w:tcW w:w="1206"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color w:val="000000"/>
                <w:kern w:val="0"/>
                <w:sz w:val="20"/>
                <w:szCs w:val="20"/>
                <w:lang w:bidi="ar"/>
              </w:rPr>
            </w:pPr>
            <w:r>
              <w:rPr>
                <w:rFonts w:hint="default" w:ascii="仿宋_GB2312" w:hAnsi="宋体" w:eastAsia="仿宋_GB2312" w:cs="仿宋_GB2312"/>
                <w:i w:val="0"/>
                <w:color w:val="000000"/>
                <w:kern w:val="0"/>
                <w:sz w:val="20"/>
                <w:szCs w:val="20"/>
                <w:u w:val="none"/>
                <w:lang w:val="en-US" w:eastAsia="zh-CN" w:bidi="ar"/>
              </w:rPr>
              <w:t xml:space="preserve"> -15.00 </w:t>
            </w:r>
          </w:p>
        </w:tc>
        <w:tc>
          <w:tcPr>
            <w:tcW w:w="1206"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color w:val="000000"/>
                <w:kern w:val="0"/>
                <w:sz w:val="20"/>
                <w:szCs w:val="20"/>
                <w:lang w:bidi="ar"/>
              </w:rPr>
            </w:pPr>
            <w:r>
              <w:rPr>
                <w:rFonts w:hint="default" w:ascii="仿宋_GB2312" w:hAnsi="宋体" w:eastAsia="仿宋_GB2312" w:cs="仿宋_GB2312"/>
                <w:i w:val="0"/>
                <w:color w:val="000000"/>
                <w:kern w:val="0"/>
                <w:sz w:val="20"/>
                <w:szCs w:val="20"/>
                <w:u w:val="none"/>
                <w:lang w:val="en-US" w:eastAsia="zh-CN" w:bidi="ar"/>
              </w:rPr>
              <w:t>-100.00%</w:t>
            </w:r>
          </w:p>
        </w:tc>
        <w:tc>
          <w:tcPr>
            <w:tcW w:w="1189" w:type="dxa"/>
            <w:shd w:val="clear" w:color="auto" w:fill="auto"/>
            <w:vAlign w:val="center"/>
          </w:tcPr>
          <w:p>
            <w:pPr>
              <w:keepNext w:val="0"/>
              <w:keepLines w:val="0"/>
              <w:widowControl/>
              <w:suppressLineNumbers w:val="0"/>
              <w:jc w:val="right"/>
              <w:textAlignment w:val="center"/>
              <w:rPr>
                <w:rFonts w:ascii="仿宋_GB2312" w:hAnsi="宋体" w:eastAsia="仿宋_GB2312" w:cs="仿宋_GB2312"/>
                <w:color w:val="000000"/>
                <w:kern w:val="0"/>
                <w:sz w:val="20"/>
                <w:szCs w:val="20"/>
                <w:lang w:bidi="ar"/>
              </w:rPr>
            </w:pPr>
            <w:r>
              <w:rPr>
                <w:rFonts w:hint="default" w:ascii="仿宋_GB2312" w:hAnsi="宋体" w:eastAsia="仿宋_GB2312" w:cs="仿宋_GB2312"/>
                <w:i w:val="0"/>
                <w:color w:val="000000"/>
                <w:kern w:val="0"/>
                <w:sz w:val="20"/>
                <w:szCs w:val="20"/>
                <w:u w:val="none"/>
                <w:lang w:val="en-US" w:eastAsia="zh-CN" w:bidi="ar"/>
              </w:rPr>
              <w:t>10.58</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rPr>
        <w:tc>
          <w:tcPr>
            <w:tcW w:w="2802" w:type="dxa"/>
            <w:shd w:val="clear" w:color="auto" w:fill="auto"/>
            <w:vAlign w:val="center"/>
          </w:tcPr>
          <w:p>
            <w:pPr>
              <w:widowControl/>
              <w:jc w:val="left"/>
              <w:textAlignment w:val="center"/>
              <w:rPr>
                <w:rFonts w:ascii="仿宋_GB2312" w:hAnsi="宋体" w:eastAsia="仿宋_GB2312" w:cs="宋体"/>
                <w:color w:val="000000"/>
                <w:kern w:val="0"/>
                <w:sz w:val="24"/>
                <w:szCs w:val="24"/>
              </w:rPr>
            </w:pPr>
            <w:r>
              <w:rPr>
                <w:rFonts w:ascii="仿宋_GB2312" w:hAnsi="宋体" w:eastAsia="仿宋_GB2312" w:cs="仿宋_GB2312"/>
                <w:color w:val="000000"/>
                <w:kern w:val="0"/>
                <w:sz w:val="20"/>
                <w:szCs w:val="20"/>
                <w:lang w:bidi="ar"/>
              </w:rPr>
              <w:t>公务接待费</w:t>
            </w:r>
          </w:p>
        </w:tc>
        <w:tc>
          <w:tcPr>
            <w:tcW w:w="991"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highlight w:val="none"/>
                <w:u w:val="none"/>
                <w:lang w:val="en-US" w:eastAsia="zh-CN" w:bidi="ar"/>
              </w:rPr>
              <w:t xml:space="preserve"> 21.20 </w:t>
            </w:r>
          </w:p>
        </w:tc>
        <w:tc>
          <w:tcPr>
            <w:tcW w:w="1134"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10.06 </w:t>
            </w:r>
          </w:p>
        </w:tc>
        <w:tc>
          <w:tcPr>
            <w:tcW w:w="1206"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-11.14 </w:t>
            </w:r>
          </w:p>
        </w:tc>
        <w:tc>
          <w:tcPr>
            <w:tcW w:w="1206"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-52.55%</w:t>
            </w:r>
          </w:p>
        </w:tc>
        <w:tc>
          <w:tcPr>
            <w:tcW w:w="1189"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23.05</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02" w:hRule="atLeast"/>
        </w:trPr>
        <w:tc>
          <w:tcPr>
            <w:tcW w:w="2802" w:type="dxa"/>
            <w:shd w:val="clear" w:color="auto" w:fill="auto"/>
            <w:vAlign w:val="center"/>
          </w:tcPr>
          <w:p>
            <w:pPr>
              <w:widowControl/>
              <w:jc w:val="left"/>
              <w:textAlignment w:val="center"/>
              <w:rPr>
                <w:rFonts w:ascii="仿宋_GB2312" w:hAnsi="宋体" w:eastAsia="仿宋_GB2312" w:cs="宋体"/>
                <w:color w:val="000000"/>
                <w:kern w:val="0"/>
                <w:sz w:val="24"/>
                <w:szCs w:val="24"/>
              </w:rPr>
            </w:pPr>
            <w:r>
              <w:rPr>
                <w:rFonts w:ascii="仿宋_GB2312" w:hAnsi="宋体" w:eastAsia="仿宋_GB2312" w:cs="仿宋_GB2312"/>
                <w:color w:val="000000"/>
                <w:kern w:val="0"/>
                <w:sz w:val="20"/>
                <w:szCs w:val="20"/>
                <w:lang w:bidi="ar"/>
              </w:rPr>
              <w:t>其中：国内接待费</w:t>
            </w:r>
          </w:p>
        </w:tc>
        <w:tc>
          <w:tcPr>
            <w:tcW w:w="991"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highlight w:val="none"/>
                <w:u w:val="none"/>
                <w:lang w:val="en-US" w:eastAsia="zh-CN" w:bidi="ar"/>
              </w:rPr>
              <w:t xml:space="preserve"> 21.20 </w:t>
            </w:r>
          </w:p>
        </w:tc>
        <w:tc>
          <w:tcPr>
            <w:tcW w:w="1134"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10.06 </w:t>
            </w:r>
          </w:p>
        </w:tc>
        <w:tc>
          <w:tcPr>
            <w:tcW w:w="1206"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 xml:space="preserve"> -11.14 </w:t>
            </w:r>
          </w:p>
        </w:tc>
        <w:tc>
          <w:tcPr>
            <w:tcW w:w="1206"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-52.55%</w:t>
            </w:r>
          </w:p>
        </w:tc>
        <w:tc>
          <w:tcPr>
            <w:tcW w:w="1189"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i w:val="0"/>
                <w:color w:val="000000"/>
                <w:kern w:val="0"/>
                <w:sz w:val="20"/>
                <w:szCs w:val="20"/>
                <w:u w:val="none"/>
                <w:lang w:val="en-US" w:eastAsia="zh-CN" w:bidi="ar"/>
              </w:rPr>
              <w:t>23.05</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rPr>
        <w:tc>
          <w:tcPr>
            <w:tcW w:w="2802" w:type="dxa"/>
            <w:shd w:val="clear" w:color="auto" w:fill="auto"/>
            <w:vAlign w:val="center"/>
          </w:tcPr>
          <w:p>
            <w:pPr>
              <w:widowControl/>
              <w:jc w:val="left"/>
              <w:textAlignment w:val="center"/>
              <w:rPr>
                <w:rFonts w:ascii="仿宋_GB2312" w:hAnsi="宋体" w:eastAsia="仿宋_GB2312" w:cs="宋体"/>
                <w:color w:val="000000"/>
                <w:kern w:val="0"/>
                <w:sz w:val="24"/>
                <w:szCs w:val="24"/>
              </w:rPr>
            </w:pPr>
            <w:r>
              <w:rPr>
                <w:rFonts w:ascii="仿宋_GB2312" w:hAnsi="宋体" w:eastAsia="仿宋_GB2312" w:cs="仿宋_GB2312"/>
                <w:color w:val="000000"/>
                <w:kern w:val="0"/>
                <w:sz w:val="20"/>
                <w:szCs w:val="20"/>
                <w:lang w:bidi="ar"/>
              </w:rPr>
              <w:t xml:space="preserve">      国（境）外接待费</w:t>
            </w:r>
          </w:p>
        </w:tc>
        <w:tc>
          <w:tcPr>
            <w:tcW w:w="991" w:type="dxa"/>
            <w:shd w:val="clear" w:color="auto" w:fill="auto"/>
            <w:vAlign w:val="center"/>
          </w:tcPr>
          <w:p>
            <w:pPr>
              <w:jc w:val="right"/>
              <w:rPr>
                <w:rFonts w:ascii="仿宋_GB2312" w:eastAsia="仿宋_GB2312"/>
                <w:color w:val="000000"/>
                <w:sz w:val="22"/>
              </w:rPr>
            </w:pPr>
          </w:p>
        </w:tc>
        <w:tc>
          <w:tcPr>
            <w:tcW w:w="1134" w:type="dxa"/>
            <w:shd w:val="clear" w:color="auto" w:fill="auto"/>
            <w:vAlign w:val="center"/>
          </w:tcPr>
          <w:p>
            <w:pPr>
              <w:jc w:val="right"/>
              <w:rPr>
                <w:rFonts w:ascii="仿宋_GB2312" w:eastAsia="仿宋_GB2312"/>
                <w:color w:val="000000"/>
                <w:sz w:val="22"/>
              </w:rPr>
            </w:pPr>
          </w:p>
        </w:tc>
        <w:tc>
          <w:tcPr>
            <w:tcW w:w="1206" w:type="dxa"/>
            <w:shd w:val="clear" w:color="auto" w:fill="auto"/>
            <w:vAlign w:val="center"/>
          </w:tcPr>
          <w:p>
            <w:pPr>
              <w:jc w:val="right"/>
              <w:rPr>
                <w:rFonts w:ascii="仿宋_GB2312" w:hAnsi="宋体" w:eastAsia="仿宋_GB2312" w:cs="宋体"/>
                <w:color w:val="000000"/>
                <w:sz w:val="22"/>
              </w:rPr>
            </w:pPr>
          </w:p>
        </w:tc>
        <w:tc>
          <w:tcPr>
            <w:tcW w:w="1206" w:type="dxa"/>
            <w:shd w:val="clear" w:color="auto" w:fill="auto"/>
            <w:vAlign w:val="center"/>
          </w:tcPr>
          <w:p>
            <w:pPr>
              <w:jc w:val="right"/>
              <w:rPr>
                <w:rFonts w:ascii="仿宋_GB2312" w:hAnsi="宋体" w:eastAsia="仿宋_GB2312" w:cs="宋体"/>
                <w:color w:val="000000"/>
                <w:sz w:val="22"/>
              </w:rPr>
            </w:pPr>
          </w:p>
        </w:tc>
        <w:tc>
          <w:tcPr>
            <w:tcW w:w="1189" w:type="dxa"/>
            <w:shd w:val="clear" w:color="auto" w:fill="auto"/>
            <w:vAlign w:val="center"/>
          </w:tcPr>
          <w:p>
            <w:pPr>
              <w:jc w:val="right"/>
              <w:rPr>
                <w:rFonts w:ascii="仿宋_GB2312" w:eastAsia="仿宋_GB2312"/>
                <w:color w:val="000000"/>
                <w:sz w:val="22"/>
              </w:rPr>
            </w:pP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PrEx>
        <w:trPr>
          <w:trHeight w:val="330" w:hRule="atLeast"/>
        </w:trPr>
        <w:tc>
          <w:tcPr>
            <w:tcW w:w="2802" w:type="dxa"/>
            <w:shd w:val="clear" w:color="auto" w:fill="auto"/>
            <w:vAlign w:val="center"/>
          </w:tcPr>
          <w:p>
            <w:pPr>
              <w:widowControl/>
              <w:jc w:val="center"/>
              <w:textAlignment w:val="center"/>
              <w:rPr>
                <w:rFonts w:ascii="仿宋_GB2312" w:hAnsi="宋体" w:eastAsia="仿宋_GB2312" w:cs="宋体"/>
                <w:color w:val="000000"/>
                <w:kern w:val="0"/>
                <w:sz w:val="24"/>
                <w:szCs w:val="24"/>
              </w:rPr>
            </w:pPr>
            <w:r>
              <w:rPr>
                <w:rFonts w:ascii="仿宋_GB2312" w:hAnsi="宋体" w:eastAsia="仿宋_GB2312" w:cs="仿宋_GB2312"/>
                <w:b/>
                <w:color w:val="000000"/>
                <w:kern w:val="0"/>
                <w:sz w:val="20"/>
                <w:szCs w:val="20"/>
                <w:lang w:bidi="ar"/>
              </w:rPr>
              <w:t>合计</w:t>
            </w:r>
          </w:p>
        </w:tc>
        <w:tc>
          <w:tcPr>
            <w:tcW w:w="991"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b/>
                <w:i w:val="0"/>
                <w:color w:val="000000"/>
                <w:kern w:val="0"/>
                <w:sz w:val="20"/>
                <w:szCs w:val="20"/>
                <w:u w:val="none"/>
                <w:lang w:val="en-US" w:eastAsia="zh-CN" w:bidi="ar"/>
              </w:rPr>
              <w:t xml:space="preserve"> 63.70 </w:t>
            </w:r>
          </w:p>
        </w:tc>
        <w:tc>
          <w:tcPr>
            <w:tcW w:w="1134"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b/>
                <w:i w:val="0"/>
                <w:color w:val="000000"/>
                <w:kern w:val="0"/>
                <w:sz w:val="20"/>
                <w:szCs w:val="20"/>
                <w:u w:val="none"/>
                <w:lang w:val="en-US" w:eastAsia="zh-CN" w:bidi="ar"/>
              </w:rPr>
              <w:t xml:space="preserve"> 35.56 </w:t>
            </w:r>
          </w:p>
        </w:tc>
        <w:tc>
          <w:tcPr>
            <w:tcW w:w="1206" w:type="dxa"/>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2"/>
              </w:rPr>
            </w:pPr>
            <w:r>
              <w:rPr>
                <w:rFonts w:hint="default" w:ascii="仿宋_GB2312" w:hAnsi="宋体" w:eastAsia="仿宋_GB2312" w:cs="仿宋_GB2312"/>
                <w:b/>
                <w:i w:val="0"/>
                <w:color w:val="000000"/>
                <w:kern w:val="0"/>
                <w:sz w:val="20"/>
                <w:szCs w:val="20"/>
                <w:u w:val="none"/>
                <w:lang w:val="en-US" w:eastAsia="zh-CN" w:bidi="ar"/>
              </w:rPr>
              <w:t xml:space="preserve"> -28.14 </w:t>
            </w:r>
          </w:p>
        </w:tc>
        <w:tc>
          <w:tcPr>
            <w:tcW w:w="1206" w:type="dxa"/>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2"/>
              </w:rPr>
            </w:pPr>
            <w:r>
              <w:rPr>
                <w:rFonts w:hint="default" w:ascii="仿宋_GB2312" w:hAnsi="宋体" w:eastAsia="仿宋_GB2312" w:cs="仿宋_GB2312"/>
                <w:b/>
                <w:i w:val="0"/>
                <w:color w:val="000000"/>
                <w:kern w:val="0"/>
                <w:sz w:val="20"/>
                <w:szCs w:val="20"/>
                <w:u w:val="none"/>
                <w:lang w:val="en-US" w:eastAsia="zh-CN" w:bidi="ar"/>
              </w:rPr>
              <w:t>-4</w:t>
            </w:r>
            <w:r>
              <w:rPr>
                <w:rFonts w:hint="eastAsia" w:ascii="仿宋_GB2312" w:hAnsi="宋体" w:eastAsia="仿宋_GB2312" w:cs="仿宋_GB2312"/>
                <w:b/>
                <w:i w:val="0"/>
                <w:color w:val="000000"/>
                <w:kern w:val="0"/>
                <w:sz w:val="20"/>
                <w:szCs w:val="20"/>
                <w:u w:val="none"/>
                <w:lang w:val="en-US" w:eastAsia="zh-CN" w:bidi="ar"/>
              </w:rPr>
              <w:t>4.18</w:t>
            </w:r>
            <w:r>
              <w:rPr>
                <w:rFonts w:hint="default" w:ascii="仿宋_GB2312" w:hAnsi="宋体" w:eastAsia="仿宋_GB2312" w:cs="仿宋_GB2312"/>
                <w:b/>
                <w:i w:val="0"/>
                <w:color w:val="000000"/>
                <w:kern w:val="0"/>
                <w:sz w:val="20"/>
                <w:szCs w:val="20"/>
                <w:u w:val="none"/>
                <w:lang w:val="en-US" w:eastAsia="zh-CN" w:bidi="ar"/>
              </w:rPr>
              <w:t>%</w:t>
            </w:r>
          </w:p>
        </w:tc>
        <w:tc>
          <w:tcPr>
            <w:tcW w:w="1189" w:type="dxa"/>
            <w:shd w:val="clear" w:color="auto" w:fill="auto"/>
            <w:vAlign w:val="center"/>
          </w:tcPr>
          <w:p>
            <w:pPr>
              <w:keepNext w:val="0"/>
              <w:keepLines w:val="0"/>
              <w:widowControl/>
              <w:suppressLineNumbers w:val="0"/>
              <w:jc w:val="right"/>
              <w:textAlignment w:val="center"/>
              <w:rPr>
                <w:rFonts w:ascii="仿宋_GB2312" w:eastAsia="仿宋_GB2312"/>
                <w:color w:val="000000"/>
                <w:sz w:val="22"/>
              </w:rPr>
            </w:pPr>
            <w:r>
              <w:rPr>
                <w:rFonts w:hint="default" w:ascii="仿宋_GB2312" w:hAnsi="宋体" w:eastAsia="仿宋_GB2312" w:cs="仿宋_GB2312"/>
                <w:b/>
                <w:i w:val="0"/>
                <w:color w:val="000000"/>
                <w:kern w:val="0"/>
                <w:sz w:val="20"/>
                <w:szCs w:val="20"/>
                <w:u w:val="none"/>
                <w:lang w:val="en-US" w:eastAsia="zh-CN" w:bidi="ar"/>
              </w:rPr>
              <w:t>96.45</w:t>
            </w:r>
          </w:p>
        </w:tc>
      </w:tr>
    </w:tbl>
    <w:p>
      <w:pPr>
        <w:widowControl/>
        <w:tabs>
          <w:tab w:val="left" w:pos="3240"/>
        </w:tabs>
        <w:snapToGrid w:val="0"/>
        <w:spacing w:before="100" w:beforeAutospacing="1" w:after="100" w:afterAutospacing="1" w:line="600" w:lineRule="exact"/>
        <w:ind w:firstLine="560" w:firstLineChars="200"/>
        <w:jc w:val="left"/>
        <w:rPr>
          <w:sz w:val="28"/>
          <w:szCs w:val="28"/>
        </w:rPr>
      </w:pPr>
      <w:r>
        <w:rPr>
          <w:rFonts w:hint="eastAsia"/>
          <w:sz w:val="28"/>
          <w:szCs w:val="28"/>
        </w:rPr>
        <w:t>1、公务用车购置及运行</w:t>
      </w:r>
    </w:p>
    <w:p>
      <w:pPr>
        <w:widowControl/>
        <w:tabs>
          <w:tab w:val="left" w:pos="3240"/>
        </w:tabs>
        <w:snapToGrid w:val="0"/>
        <w:spacing w:before="100" w:beforeAutospacing="1" w:after="100" w:afterAutospacing="1" w:line="600" w:lineRule="exact"/>
        <w:ind w:firstLine="560" w:firstLineChars="200"/>
        <w:jc w:val="left"/>
        <w:rPr>
          <w:sz w:val="28"/>
          <w:szCs w:val="28"/>
        </w:rPr>
      </w:pPr>
      <w:r>
        <w:rPr>
          <w:rFonts w:hint="eastAsia"/>
          <w:sz w:val="28"/>
          <w:szCs w:val="28"/>
          <w:highlight w:val="none"/>
        </w:rPr>
        <w:t>2016年的公务车运行费用为</w:t>
      </w:r>
      <w:r>
        <w:rPr>
          <w:rFonts w:hint="eastAsia"/>
          <w:sz w:val="28"/>
          <w:szCs w:val="28"/>
          <w:highlight w:val="none"/>
          <w:lang w:val="en-US" w:eastAsia="zh-CN"/>
        </w:rPr>
        <w:t>25.50</w:t>
      </w:r>
      <w:r>
        <w:rPr>
          <w:rFonts w:hint="eastAsia"/>
          <w:sz w:val="28"/>
          <w:szCs w:val="28"/>
          <w:highlight w:val="none"/>
        </w:rPr>
        <w:t>万元， 2016年度预算总额为</w:t>
      </w:r>
      <w:r>
        <w:rPr>
          <w:rFonts w:hint="eastAsia"/>
          <w:sz w:val="28"/>
          <w:szCs w:val="28"/>
          <w:highlight w:val="none"/>
          <w:lang w:val="en-US" w:eastAsia="zh-CN"/>
        </w:rPr>
        <w:t>27.50</w:t>
      </w:r>
      <w:r>
        <w:rPr>
          <w:rFonts w:hint="eastAsia"/>
          <w:sz w:val="28"/>
          <w:szCs w:val="28"/>
          <w:highlight w:val="none"/>
        </w:rPr>
        <w:t>万元</w:t>
      </w:r>
      <w:r>
        <w:rPr>
          <w:rFonts w:hint="eastAsia"/>
          <w:sz w:val="28"/>
          <w:szCs w:val="28"/>
          <w:highlight w:val="none"/>
          <w:lang w:eastAsia="zh-CN"/>
        </w:rPr>
        <w:t>，节约</w:t>
      </w:r>
      <w:r>
        <w:rPr>
          <w:rFonts w:hint="eastAsia"/>
          <w:sz w:val="28"/>
          <w:szCs w:val="28"/>
          <w:highlight w:val="none"/>
          <w:lang w:val="en-US" w:eastAsia="zh-CN"/>
        </w:rPr>
        <w:t>2.00万元，占比7.27%。较2015年支出减少37.32万元。</w:t>
      </w:r>
    </w:p>
    <w:p>
      <w:pPr>
        <w:widowControl/>
        <w:tabs>
          <w:tab w:val="left" w:pos="3240"/>
        </w:tabs>
        <w:snapToGrid w:val="0"/>
        <w:spacing w:before="100" w:beforeAutospacing="1" w:after="100" w:afterAutospacing="1" w:line="600" w:lineRule="exact"/>
        <w:ind w:firstLine="560" w:firstLineChars="200"/>
        <w:jc w:val="left"/>
        <w:rPr>
          <w:sz w:val="28"/>
          <w:szCs w:val="28"/>
        </w:rPr>
      </w:pPr>
      <w:r>
        <w:rPr>
          <w:rFonts w:hint="eastAsia"/>
          <w:sz w:val="28"/>
          <w:szCs w:val="28"/>
        </w:rPr>
        <w:t>2、公务接待费</w:t>
      </w:r>
    </w:p>
    <w:p>
      <w:pPr>
        <w:widowControl/>
        <w:tabs>
          <w:tab w:val="left" w:pos="3240"/>
        </w:tabs>
        <w:snapToGrid w:val="0"/>
        <w:spacing w:before="100" w:beforeAutospacing="1" w:after="100" w:afterAutospacing="1" w:line="600" w:lineRule="exact"/>
        <w:ind w:firstLine="560" w:firstLineChars="200"/>
        <w:jc w:val="left"/>
        <w:rPr>
          <w:sz w:val="28"/>
          <w:szCs w:val="28"/>
        </w:rPr>
      </w:pPr>
      <w:r>
        <w:rPr>
          <w:rFonts w:hint="eastAsia"/>
          <w:sz w:val="28"/>
          <w:szCs w:val="28"/>
          <w:highlight w:val="none"/>
        </w:rPr>
        <w:t>全年共公务接待</w:t>
      </w:r>
      <w:r>
        <w:rPr>
          <w:rFonts w:hint="eastAsia"/>
          <w:sz w:val="28"/>
          <w:szCs w:val="28"/>
          <w:highlight w:val="none"/>
          <w:lang w:val="en-US" w:eastAsia="zh-CN"/>
        </w:rPr>
        <w:t>68</w:t>
      </w:r>
      <w:r>
        <w:rPr>
          <w:rFonts w:hint="eastAsia"/>
          <w:sz w:val="28"/>
          <w:szCs w:val="28"/>
          <w:highlight w:val="none"/>
        </w:rPr>
        <w:t>批</w:t>
      </w:r>
      <w:r>
        <w:rPr>
          <w:rFonts w:hint="eastAsia"/>
          <w:sz w:val="28"/>
          <w:szCs w:val="28"/>
          <w:highlight w:val="none"/>
          <w:lang w:val="en-US" w:eastAsia="zh-CN"/>
        </w:rPr>
        <w:t>367</w:t>
      </w:r>
      <w:r>
        <w:rPr>
          <w:rFonts w:hint="eastAsia"/>
          <w:sz w:val="28"/>
          <w:szCs w:val="28"/>
          <w:highlight w:val="none"/>
        </w:rPr>
        <w:t>人次。全年决算支出公务接待费</w:t>
      </w:r>
      <w:r>
        <w:rPr>
          <w:rFonts w:hint="eastAsia"/>
          <w:sz w:val="28"/>
          <w:szCs w:val="28"/>
          <w:highlight w:val="none"/>
          <w:lang w:val="en-US" w:eastAsia="zh-CN"/>
        </w:rPr>
        <w:t>10.06</w:t>
      </w:r>
      <w:r>
        <w:rPr>
          <w:rFonts w:hint="eastAsia"/>
          <w:sz w:val="28"/>
          <w:szCs w:val="28"/>
          <w:highlight w:val="none"/>
        </w:rPr>
        <w:t>万元，2016年度预算总额</w:t>
      </w:r>
      <w:r>
        <w:rPr>
          <w:rFonts w:hint="eastAsia"/>
          <w:sz w:val="28"/>
          <w:szCs w:val="28"/>
          <w:highlight w:val="none"/>
          <w:lang w:val="en-US" w:eastAsia="zh-CN"/>
        </w:rPr>
        <w:t>21.2</w:t>
      </w:r>
      <w:r>
        <w:rPr>
          <w:rFonts w:hint="eastAsia"/>
          <w:sz w:val="28"/>
          <w:szCs w:val="28"/>
          <w:highlight w:val="none"/>
        </w:rPr>
        <w:t>万元，节约</w:t>
      </w:r>
      <w:r>
        <w:rPr>
          <w:rFonts w:hint="eastAsia"/>
          <w:sz w:val="28"/>
          <w:szCs w:val="28"/>
          <w:highlight w:val="none"/>
          <w:lang w:val="en-US" w:eastAsia="zh-CN"/>
        </w:rPr>
        <w:t>11.14</w:t>
      </w:r>
      <w:r>
        <w:rPr>
          <w:rFonts w:hint="eastAsia"/>
          <w:sz w:val="28"/>
          <w:szCs w:val="28"/>
          <w:highlight w:val="none"/>
        </w:rPr>
        <w:t>万元，占比</w:t>
      </w:r>
      <w:r>
        <w:rPr>
          <w:rFonts w:hint="eastAsia"/>
          <w:sz w:val="28"/>
          <w:szCs w:val="28"/>
          <w:highlight w:val="none"/>
          <w:lang w:val="en-US" w:eastAsia="zh-CN"/>
        </w:rPr>
        <w:t>52.55</w:t>
      </w:r>
      <w:r>
        <w:rPr>
          <w:rFonts w:hint="eastAsia"/>
          <w:sz w:val="28"/>
          <w:szCs w:val="28"/>
          <w:highlight w:val="none"/>
        </w:rPr>
        <w:t>%。较2015年支出减少</w:t>
      </w:r>
      <w:r>
        <w:rPr>
          <w:rFonts w:hint="eastAsia"/>
          <w:sz w:val="28"/>
          <w:szCs w:val="28"/>
          <w:highlight w:val="none"/>
          <w:lang w:val="en-US" w:eastAsia="zh-CN"/>
        </w:rPr>
        <w:t>12.99</w:t>
      </w:r>
      <w:r>
        <w:rPr>
          <w:rFonts w:hint="eastAsia"/>
          <w:sz w:val="28"/>
          <w:szCs w:val="28"/>
          <w:highlight w:val="none"/>
        </w:rPr>
        <w:t>万元。</w:t>
      </w:r>
    </w:p>
    <w:p>
      <w:pPr>
        <w:widowControl/>
        <w:tabs>
          <w:tab w:val="left" w:pos="3240"/>
        </w:tabs>
        <w:snapToGrid w:val="0"/>
        <w:spacing w:before="100" w:beforeAutospacing="1" w:after="100" w:afterAutospacing="1" w:line="600" w:lineRule="exact"/>
        <w:ind w:firstLine="560" w:firstLineChars="200"/>
        <w:jc w:val="left"/>
        <w:rPr>
          <w:sz w:val="28"/>
          <w:szCs w:val="28"/>
        </w:rPr>
      </w:pPr>
      <w:r>
        <w:rPr>
          <w:rFonts w:hint="eastAsia"/>
          <w:sz w:val="28"/>
          <w:szCs w:val="28"/>
        </w:rPr>
        <w:t>（四）公用经费情况</w:t>
      </w:r>
    </w:p>
    <w:p>
      <w:pPr>
        <w:widowControl/>
        <w:snapToGrid w:val="0"/>
        <w:spacing w:before="100" w:beforeAutospacing="1" w:after="100" w:afterAutospacing="1" w:line="600" w:lineRule="exact"/>
        <w:ind w:firstLine="560" w:firstLineChars="200"/>
        <w:jc w:val="left"/>
        <w:rPr>
          <w:sz w:val="28"/>
          <w:szCs w:val="28"/>
        </w:rPr>
      </w:pPr>
      <w:r>
        <w:rPr>
          <w:rFonts w:hint="eastAsia"/>
          <w:sz w:val="28"/>
          <w:szCs w:val="28"/>
        </w:rPr>
        <w:t>2016年初省财政批复公用经费预算数为330.03万元，年中预算调整追加</w:t>
      </w:r>
      <w:r>
        <w:rPr>
          <w:rFonts w:hint="eastAsia"/>
          <w:sz w:val="28"/>
          <w:szCs w:val="28"/>
          <w:lang w:val="en-US" w:eastAsia="zh-CN"/>
        </w:rPr>
        <w:t>37.28</w:t>
      </w:r>
      <w:r>
        <w:rPr>
          <w:rFonts w:hint="eastAsia"/>
          <w:sz w:val="28"/>
          <w:szCs w:val="28"/>
        </w:rPr>
        <w:t>万元（含上年结转金额），全年预算</w:t>
      </w:r>
      <w:r>
        <w:rPr>
          <w:rFonts w:hint="eastAsia"/>
          <w:sz w:val="28"/>
          <w:szCs w:val="28"/>
          <w:lang w:val="en-US" w:eastAsia="zh-CN"/>
        </w:rPr>
        <w:t>367.31</w:t>
      </w:r>
      <w:r>
        <w:rPr>
          <w:rFonts w:hint="eastAsia"/>
          <w:sz w:val="28"/>
          <w:szCs w:val="28"/>
        </w:rPr>
        <w:t>万元，全年决算支出公用经费332.64万元，较预算总额少</w:t>
      </w:r>
      <w:r>
        <w:rPr>
          <w:rFonts w:hint="eastAsia"/>
          <w:sz w:val="28"/>
          <w:szCs w:val="28"/>
          <w:lang w:val="en-US" w:eastAsia="zh-CN"/>
        </w:rPr>
        <w:t>34.67</w:t>
      </w:r>
      <w:r>
        <w:rPr>
          <w:rFonts w:hint="eastAsia"/>
          <w:sz w:val="28"/>
          <w:szCs w:val="28"/>
        </w:rPr>
        <w:t>万元，占比</w:t>
      </w:r>
      <w:r>
        <w:rPr>
          <w:rFonts w:hint="eastAsia"/>
          <w:sz w:val="28"/>
          <w:szCs w:val="28"/>
          <w:lang w:val="en-US" w:eastAsia="zh-CN"/>
        </w:rPr>
        <w:t>9.44</w:t>
      </w:r>
      <w:r>
        <w:rPr>
          <w:rFonts w:hint="eastAsia"/>
          <w:sz w:val="28"/>
          <w:szCs w:val="28"/>
        </w:rPr>
        <w:t>%。具体情况如下：</w:t>
      </w:r>
    </w:p>
    <w:p>
      <w:pPr>
        <w:widowControl/>
        <w:jc w:val="right"/>
        <w:rPr>
          <w:szCs w:val="21"/>
        </w:rPr>
      </w:pPr>
      <w:r>
        <w:rPr>
          <w:rFonts w:hint="eastAsia" w:ascii="仿宋" w:hAnsi="仿宋" w:eastAsia="仿宋" w:cs="宋体"/>
          <w:color w:val="000000"/>
          <w:kern w:val="0"/>
          <w:sz w:val="24"/>
          <w:szCs w:val="24"/>
        </w:rPr>
        <w:t>金额单位：万元</w:t>
      </w:r>
    </w:p>
    <w:tbl>
      <w:tblPr>
        <w:tblStyle w:val="27"/>
        <w:tblW w:w="85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15"/>
        <w:gridCol w:w="1400"/>
        <w:gridCol w:w="1400"/>
        <w:gridCol w:w="1556"/>
        <w:gridCol w:w="155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85" w:hRule="atLeast"/>
          <w:tblHeader/>
        </w:trPr>
        <w:tc>
          <w:tcPr>
            <w:tcW w:w="261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宋体" w:hAnsi="宋体" w:eastAsia="宋体" w:cs="宋体"/>
                <w:b/>
                <w:i w:val="0"/>
                <w:color w:val="000000"/>
                <w:kern w:val="0"/>
                <w:sz w:val="20"/>
                <w:szCs w:val="20"/>
                <w:u w:val="none"/>
                <w:lang w:val="en-US" w:eastAsia="zh-CN" w:bidi="ar"/>
              </w:rPr>
              <w:t>功能分类</w:t>
            </w:r>
          </w:p>
        </w:tc>
        <w:tc>
          <w:tcPr>
            <w:tcW w:w="14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宋体" w:hAnsi="宋体" w:eastAsia="宋体" w:cs="宋体"/>
                <w:b/>
                <w:i w:val="0"/>
                <w:color w:val="000000"/>
                <w:kern w:val="0"/>
                <w:sz w:val="20"/>
                <w:szCs w:val="20"/>
                <w:u w:val="none"/>
                <w:lang w:val="en-US" w:eastAsia="zh-CN" w:bidi="ar"/>
              </w:rPr>
              <w:t xml:space="preserve"> 2016年预算总额 </w:t>
            </w:r>
          </w:p>
        </w:tc>
        <w:tc>
          <w:tcPr>
            <w:tcW w:w="14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宋体" w:hAnsi="宋体" w:eastAsia="宋体" w:cs="宋体"/>
                <w:b/>
                <w:i w:val="0"/>
                <w:color w:val="000000"/>
                <w:kern w:val="0"/>
                <w:sz w:val="20"/>
                <w:szCs w:val="20"/>
                <w:u w:val="none"/>
                <w:lang w:val="en-US" w:eastAsia="zh-CN" w:bidi="ar"/>
              </w:rPr>
              <w:t xml:space="preserve"> 2016年决算支出 </w:t>
            </w:r>
          </w:p>
        </w:tc>
        <w:tc>
          <w:tcPr>
            <w:tcW w:w="3113" w:type="dxa"/>
            <w:gridSpan w:val="2"/>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宋体" w:hAnsi="宋体" w:eastAsia="宋体" w:cs="宋体"/>
                <w:b/>
                <w:i w:val="0"/>
                <w:color w:val="000000"/>
                <w:kern w:val="0"/>
                <w:sz w:val="20"/>
                <w:szCs w:val="20"/>
                <w:u w:val="none"/>
                <w:lang w:val="en-US" w:eastAsia="zh-CN" w:bidi="ar"/>
              </w:rPr>
              <w:t>超预算（负数为节约）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85" w:hRule="atLeast"/>
          <w:tblHeader/>
        </w:trPr>
        <w:tc>
          <w:tcPr>
            <w:tcW w:w="2615" w:type="dxa"/>
            <w:vMerge w:val="continue"/>
            <w:tcBorders>
              <w:tl2br w:val="nil"/>
              <w:tr2bl w:val="nil"/>
            </w:tcBorders>
            <w:vAlign w:val="center"/>
          </w:tcPr>
          <w:p>
            <w:pPr>
              <w:jc w:val="center"/>
              <w:rPr>
                <w:rFonts w:ascii="仿宋" w:hAnsi="仿宋" w:eastAsia="仿宋" w:cs="宋体"/>
                <w:color w:val="000000"/>
                <w:kern w:val="0"/>
                <w:sz w:val="24"/>
                <w:szCs w:val="24"/>
              </w:rPr>
            </w:pPr>
          </w:p>
        </w:tc>
        <w:tc>
          <w:tcPr>
            <w:tcW w:w="1400" w:type="dxa"/>
            <w:vMerge w:val="continue"/>
            <w:tcBorders>
              <w:tl2br w:val="nil"/>
              <w:tr2bl w:val="nil"/>
            </w:tcBorders>
            <w:vAlign w:val="center"/>
          </w:tcPr>
          <w:p>
            <w:pPr>
              <w:jc w:val="center"/>
              <w:rPr>
                <w:rFonts w:ascii="仿宋" w:hAnsi="仿宋" w:eastAsia="仿宋" w:cs="宋体"/>
                <w:color w:val="000000"/>
                <w:kern w:val="0"/>
                <w:sz w:val="24"/>
                <w:szCs w:val="24"/>
              </w:rPr>
            </w:pPr>
          </w:p>
        </w:tc>
        <w:tc>
          <w:tcPr>
            <w:tcW w:w="1400" w:type="dxa"/>
            <w:vMerge w:val="continue"/>
            <w:tcBorders>
              <w:tl2br w:val="nil"/>
              <w:tr2bl w:val="nil"/>
            </w:tcBorders>
            <w:vAlign w:val="center"/>
          </w:tcPr>
          <w:p>
            <w:pPr>
              <w:jc w:val="center"/>
              <w:rPr>
                <w:rFonts w:ascii="仿宋" w:hAnsi="仿宋" w:eastAsia="仿宋" w:cs="宋体"/>
                <w:color w:val="000000"/>
                <w:kern w:val="0"/>
                <w:sz w:val="24"/>
                <w:szCs w:val="24"/>
              </w:rPr>
            </w:pPr>
          </w:p>
        </w:tc>
        <w:tc>
          <w:tcPr>
            <w:tcW w:w="1556"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宋体" w:hAnsi="宋体" w:eastAsia="宋体" w:cs="宋体"/>
                <w:b/>
                <w:i w:val="0"/>
                <w:color w:val="000000"/>
                <w:kern w:val="0"/>
                <w:sz w:val="20"/>
                <w:szCs w:val="20"/>
                <w:u w:val="none"/>
                <w:lang w:val="en-US" w:eastAsia="zh-CN" w:bidi="ar"/>
              </w:rPr>
              <w:t>金额</w:t>
            </w:r>
          </w:p>
        </w:tc>
        <w:tc>
          <w:tcPr>
            <w:tcW w:w="1557"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宋体" w:hAnsi="宋体" w:eastAsia="宋体" w:cs="宋体"/>
                <w:b/>
                <w:i w:val="0"/>
                <w:color w:val="000000"/>
                <w:kern w:val="0"/>
                <w:sz w:val="20"/>
                <w:szCs w:val="20"/>
                <w:u w:val="none"/>
                <w:lang w:val="en-US" w:eastAsia="zh-CN" w:bidi="ar"/>
              </w:rPr>
              <w:t>占比</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办公费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highlight w:val="yellow"/>
              </w:rPr>
            </w:pPr>
            <w:r>
              <w:rPr>
                <w:rFonts w:hint="eastAsia" w:ascii="宋体" w:hAnsi="宋体" w:eastAsia="宋体" w:cs="宋体"/>
                <w:i w:val="0"/>
                <w:color w:val="000000"/>
                <w:kern w:val="0"/>
                <w:sz w:val="20"/>
                <w:szCs w:val="20"/>
                <w:u w:val="none"/>
                <w:lang w:val="en-US" w:eastAsia="zh-CN" w:bidi="ar"/>
              </w:rPr>
              <w:t xml:space="preserve"> 28.30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26.92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-1.38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-4.86%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印刷费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highlight w:val="yellow"/>
              </w:rPr>
            </w:pPr>
            <w:r>
              <w:rPr>
                <w:rFonts w:hint="eastAsia" w:ascii="宋体" w:hAnsi="宋体" w:eastAsia="宋体" w:cs="宋体"/>
                <w:i w:val="0"/>
                <w:color w:val="000000"/>
                <w:kern w:val="0"/>
                <w:sz w:val="20"/>
                <w:szCs w:val="20"/>
                <w:u w:val="none"/>
                <w:lang w:val="en-US" w:eastAsia="zh-CN" w:bidi="ar"/>
              </w:rPr>
              <w:t xml:space="preserve"> 8.56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6.74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-1.82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-21.28%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咨询费</w:t>
            </w:r>
          </w:p>
        </w:tc>
        <w:tc>
          <w:tcPr>
            <w:tcW w:w="1400" w:type="dxa"/>
            <w:tcBorders>
              <w:tl2br w:val="nil"/>
              <w:tr2bl w:val="nil"/>
            </w:tcBorders>
            <w:shd w:val="clear" w:color="auto" w:fill="auto"/>
            <w:vAlign w:val="center"/>
          </w:tcPr>
          <w:p>
            <w:pPr>
              <w:jc w:val="right"/>
              <w:rPr>
                <w:rFonts w:ascii="仿宋" w:hAnsi="仿宋" w:eastAsia="仿宋" w:cs="宋体"/>
                <w:color w:val="000000"/>
                <w:szCs w:val="21"/>
                <w:highlight w:val="yellow"/>
              </w:rPr>
            </w:pP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手续费</w:t>
            </w:r>
          </w:p>
        </w:tc>
        <w:tc>
          <w:tcPr>
            <w:tcW w:w="1400" w:type="dxa"/>
            <w:tcBorders>
              <w:tl2br w:val="nil"/>
              <w:tr2bl w:val="nil"/>
            </w:tcBorders>
            <w:shd w:val="clear" w:color="auto" w:fill="auto"/>
            <w:vAlign w:val="center"/>
          </w:tcPr>
          <w:p>
            <w:pPr>
              <w:jc w:val="right"/>
              <w:rPr>
                <w:rFonts w:ascii="仿宋" w:hAnsi="仿宋" w:eastAsia="仿宋" w:cs="宋体"/>
                <w:color w:val="000000"/>
                <w:szCs w:val="21"/>
                <w:highlight w:val="yellow"/>
              </w:rPr>
            </w:pP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水费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highlight w:val="yellow"/>
              </w:rPr>
            </w:pPr>
            <w:r>
              <w:rPr>
                <w:rFonts w:hint="eastAsia" w:ascii="宋体" w:hAnsi="宋体" w:eastAsia="宋体" w:cs="宋体"/>
                <w:i w:val="0"/>
                <w:color w:val="000000"/>
                <w:kern w:val="0"/>
                <w:sz w:val="20"/>
                <w:szCs w:val="20"/>
                <w:u w:val="none"/>
                <w:lang w:val="en-US" w:eastAsia="zh-CN" w:bidi="ar"/>
              </w:rPr>
              <w:t xml:space="preserve"> 8.67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7.16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-1.51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-17.47%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电费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highlight w:val="yellow"/>
              </w:rPr>
            </w:pPr>
            <w:r>
              <w:rPr>
                <w:rFonts w:hint="eastAsia" w:ascii="宋体" w:hAnsi="宋体" w:eastAsia="宋体" w:cs="宋体"/>
                <w:i w:val="0"/>
                <w:color w:val="000000"/>
                <w:kern w:val="0"/>
                <w:sz w:val="20"/>
                <w:szCs w:val="20"/>
                <w:u w:val="none"/>
                <w:lang w:val="en-US" w:eastAsia="zh-CN" w:bidi="ar"/>
              </w:rPr>
              <w:t xml:space="preserve"> 13.89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13.10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-0.79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-5.71%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邮电费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highlight w:val="yellow"/>
              </w:rPr>
            </w:pPr>
            <w:r>
              <w:rPr>
                <w:rFonts w:hint="eastAsia" w:ascii="宋体" w:hAnsi="宋体" w:eastAsia="宋体" w:cs="宋体"/>
                <w:i w:val="0"/>
                <w:color w:val="000000"/>
                <w:kern w:val="0"/>
                <w:sz w:val="20"/>
                <w:szCs w:val="20"/>
                <w:u w:val="none"/>
                <w:lang w:val="en-US" w:eastAsia="zh-CN" w:bidi="ar"/>
              </w:rPr>
              <w:t xml:space="preserve"> 8.35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8.04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-0.31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-3.77%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取暖费</w:t>
            </w:r>
          </w:p>
        </w:tc>
        <w:tc>
          <w:tcPr>
            <w:tcW w:w="1400" w:type="dxa"/>
            <w:tcBorders>
              <w:tl2br w:val="nil"/>
              <w:tr2bl w:val="nil"/>
            </w:tcBorders>
            <w:shd w:val="clear" w:color="auto" w:fill="auto"/>
            <w:vAlign w:val="center"/>
          </w:tcPr>
          <w:p>
            <w:pPr>
              <w:rPr>
                <w:rFonts w:ascii="仿宋" w:hAnsi="仿宋" w:eastAsia="仿宋" w:cs="宋体"/>
                <w:color w:val="000000"/>
                <w:sz w:val="22"/>
                <w:highlight w:val="yellow"/>
              </w:rPr>
            </w:pPr>
          </w:p>
        </w:tc>
        <w:tc>
          <w:tcPr>
            <w:tcW w:w="1400" w:type="dxa"/>
            <w:tcBorders>
              <w:tl2br w:val="nil"/>
              <w:tr2bl w:val="nil"/>
            </w:tcBorders>
            <w:shd w:val="clear" w:color="auto" w:fill="auto"/>
            <w:vAlign w:val="center"/>
          </w:tcPr>
          <w:p>
            <w:pPr>
              <w:jc w:val="center"/>
              <w:rPr>
                <w:rFonts w:ascii="仿宋" w:hAnsi="仿宋" w:eastAsia="仿宋" w:cs="宋体"/>
                <w:color w:val="000000"/>
                <w:sz w:val="22"/>
              </w:rPr>
            </w:pPr>
          </w:p>
        </w:tc>
        <w:tc>
          <w:tcPr>
            <w:tcW w:w="1556" w:type="dxa"/>
            <w:tcBorders>
              <w:tl2br w:val="nil"/>
              <w:tr2bl w:val="nil"/>
            </w:tcBorders>
            <w:shd w:val="clear" w:color="auto" w:fill="auto"/>
            <w:vAlign w:val="center"/>
          </w:tcPr>
          <w:p>
            <w:pPr>
              <w:jc w:val="center"/>
              <w:rPr>
                <w:rFonts w:ascii="仿宋" w:hAnsi="仿宋" w:eastAsia="仿宋"/>
                <w:color w:val="000000"/>
                <w:sz w:val="22"/>
              </w:rPr>
            </w:pPr>
          </w:p>
        </w:tc>
        <w:tc>
          <w:tcPr>
            <w:tcW w:w="1557" w:type="dxa"/>
            <w:tcBorders>
              <w:tl2br w:val="nil"/>
              <w:tr2bl w:val="nil"/>
            </w:tcBorders>
            <w:shd w:val="clear" w:color="auto" w:fill="auto"/>
            <w:vAlign w:val="center"/>
          </w:tcPr>
          <w:p>
            <w:pPr>
              <w:jc w:val="center"/>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物业管理费</w:t>
            </w:r>
          </w:p>
        </w:tc>
        <w:tc>
          <w:tcPr>
            <w:tcW w:w="1400" w:type="dxa"/>
            <w:tcBorders>
              <w:tl2br w:val="nil"/>
              <w:tr2bl w:val="nil"/>
            </w:tcBorders>
            <w:shd w:val="clear" w:color="auto" w:fill="auto"/>
            <w:vAlign w:val="center"/>
          </w:tcPr>
          <w:p>
            <w:pPr>
              <w:rPr>
                <w:rFonts w:ascii="仿宋" w:hAnsi="仿宋" w:eastAsia="仿宋" w:cs="宋体"/>
                <w:color w:val="000000"/>
                <w:sz w:val="22"/>
                <w:highlight w:val="yellow"/>
              </w:rPr>
            </w:pPr>
          </w:p>
        </w:tc>
        <w:tc>
          <w:tcPr>
            <w:tcW w:w="1400" w:type="dxa"/>
            <w:tcBorders>
              <w:tl2br w:val="nil"/>
              <w:tr2bl w:val="nil"/>
            </w:tcBorders>
            <w:shd w:val="clear" w:color="auto" w:fill="auto"/>
            <w:vAlign w:val="center"/>
          </w:tcPr>
          <w:p>
            <w:pPr>
              <w:jc w:val="center"/>
              <w:rPr>
                <w:rFonts w:ascii="仿宋" w:hAnsi="仿宋" w:eastAsia="仿宋" w:cs="宋体"/>
                <w:color w:val="000000"/>
                <w:sz w:val="22"/>
              </w:rPr>
            </w:pPr>
          </w:p>
        </w:tc>
        <w:tc>
          <w:tcPr>
            <w:tcW w:w="1556" w:type="dxa"/>
            <w:tcBorders>
              <w:tl2br w:val="nil"/>
              <w:tr2bl w:val="nil"/>
            </w:tcBorders>
            <w:shd w:val="clear" w:color="auto" w:fill="auto"/>
            <w:vAlign w:val="center"/>
          </w:tcPr>
          <w:p>
            <w:pPr>
              <w:jc w:val="center"/>
              <w:rPr>
                <w:rFonts w:ascii="仿宋" w:hAnsi="仿宋" w:eastAsia="仿宋"/>
                <w:color w:val="000000"/>
                <w:sz w:val="22"/>
              </w:rPr>
            </w:pPr>
          </w:p>
        </w:tc>
        <w:tc>
          <w:tcPr>
            <w:tcW w:w="1557" w:type="dxa"/>
            <w:tcBorders>
              <w:tl2br w:val="nil"/>
              <w:tr2bl w:val="nil"/>
            </w:tcBorders>
            <w:shd w:val="clear" w:color="auto" w:fill="auto"/>
            <w:vAlign w:val="center"/>
          </w:tcPr>
          <w:p>
            <w:pPr>
              <w:jc w:val="center"/>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差旅费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28.83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28.83 </w:t>
            </w:r>
          </w:p>
        </w:tc>
        <w:tc>
          <w:tcPr>
            <w:tcW w:w="1556" w:type="dxa"/>
            <w:tcBorders>
              <w:tl2br w:val="nil"/>
              <w:tr2bl w:val="nil"/>
            </w:tcBorders>
            <w:shd w:val="clear" w:color="auto" w:fill="auto"/>
            <w:vAlign w:val="center"/>
          </w:tcPr>
          <w:p>
            <w:pPr>
              <w:jc w:val="right"/>
              <w:rPr>
                <w:rFonts w:hint="eastAsia" w:ascii="宋体" w:hAnsi="宋体" w:eastAsia="宋体" w:cs="宋体"/>
                <w:color w:val="000000"/>
                <w:kern w:val="0"/>
                <w:sz w:val="20"/>
                <w:szCs w:val="20"/>
                <w:lang w:bidi="ar"/>
              </w:rPr>
            </w:pPr>
          </w:p>
        </w:tc>
        <w:tc>
          <w:tcPr>
            <w:tcW w:w="1557" w:type="dxa"/>
            <w:tcBorders>
              <w:tl2br w:val="nil"/>
              <w:tr2bl w:val="nil"/>
            </w:tcBorders>
            <w:shd w:val="clear" w:color="auto" w:fill="auto"/>
            <w:vAlign w:val="center"/>
          </w:tcPr>
          <w:p>
            <w:pPr>
              <w:jc w:val="right"/>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功能分类</w:t>
            </w:r>
          </w:p>
        </w:tc>
        <w:tc>
          <w:tcPr>
            <w:tcW w:w="14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i w:val="0"/>
                <w:color w:val="000000"/>
                <w:kern w:val="0"/>
                <w:sz w:val="20"/>
                <w:szCs w:val="20"/>
                <w:u w:val="none"/>
                <w:lang w:val="en-US" w:eastAsia="zh-CN" w:bidi="ar"/>
              </w:rPr>
              <w:t xml:space="preserve"> 2016年预算总额 </w:t>
            </w:r>
          </w:p>
        </w:tc>
        <w:tc>
          <w:tcPr>
            <w:tcW w:w="14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i w:val="0"/>
                <w:color w:val="000000"/>
                <w:kern w:val="0"/>
                <w:sz w:val="20"/>
                <w:szCs w:val="20"/>
                <w:u w:val="none"/>
                <w:lang w:val="en-US" w:eastAsia="zh-CN" w:bidi="ar"/>
              </w:rPr>
              <w:t xml:space="preserve"> 2016年决算支出 </w:t>
            </w:r>
          </w:p>
        </w:tc>
        <w:tc>
          <w:tcPr>
            <w:tcW w:w="3113"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i w:val="0"/>
                <w:color w:val="000000"/>
                <w:kern w:val="0"/>
                <w:sz w:val="20"/>
                <w:szCs w:val="20"/>
                <w:u w:val="none"/>
                <w:lang w:val="en-US" w:eastAsia="zh-CN" w:bidi="ar"/>
              </w:rPr>
              <w:t>超预算（负数为节约）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vMerge w:val="continue"/>
            <w:tcBorders>
              <w:tl2br w:val="nil"/>
              <w:tr2bl w:val="nil"/>
            </w:tcBorders>
            <w:shd w:val="clear" w:color="auto" w:fill="auto"/>
            <w:vAlign w:val="center"/>
          </w:tcPr>
          <w:p>
            <w:pPr>
              <w:jc w:val="center"/>
              <w:rPr>
                <w:rFonts w:hint="eastAsia" w:ascii="宋体" w:hAnsi="宋体" w:eastAsia="宋体" w:cs="宋体"/>
                <w:i w:val="0"/>
                <w:color w:val="000000"/>
                <w:kern w:val="0"/>
                <w:sz w:val="20"/>
                <w:szCs w:val="20"/>
                <w:u w:val="none"/>
                <w:lang w:val="en-US" w:eastAsia="zh-CN" w:bidi="ar"/>
              </w:rPr>
            </w:pPr>
          </w:p>
        </w:tc>
        <w:tc>
          <w:tcPr>
            <w:tcW w:w="1400" w:type="dxa"/>
            <w:vMerge w:val="continue"/>
            <w:tcBorders>
              <w:tl2br w:val="nil"/>
              <w:tr2bl w:val="nil"/>
            </w:tcBorders>
            <w:shd w:val="clear" w:color="auto" w:fill="auto"/>
            <w:vAlign w:val="center"/>
          </w:tcPr>
          <w:p>
            <w:pPr>
              <w:jc w:val="center"/>
              <w:rPr>
                <w:rFonts w:hint="eastAsia" w:ascii="宋体" w:hAnsi="宋体" w:eastAsia="宋体" w:cs="宋体"/>
                <w:color w:val="000000"/>
                <w:kern w:val="0"/>
                <w:sz w:val="20"/>
                <w:szCs w:val="20"/>
                <w:lang w:bidi="ar"/>
              </w:rPr>
            </w:pPr>
          </w:p>
        </w:tc>
        <w:tc>
          <w:tcPr>
            <w:tcW w:w="1400" w:type="dxa"/>
            <w:vMerge w:val="continue"/>
            <w:tcBorders>
              <w:tl2br w:val="nil"/>
              <w:tr2bl w:val="nil"/>
            </w:tcBorders>
            <w:shd w:val="clear" w:color="auto" w:fill="auto"/>
            <w:vAlign w:val="center"/>
          </w:tcPr>
          <w:p>
            <w:pPr>
              <w:jc w:val="center"/>
              <w:rPr>
                <w:rFonts w:hint="eastAsia" w:ascii="宋体" w:hAnsi="宋体" w:eastAsia="宋体" w:cs="宋体"/>
                <w:color w:val="000000"/>
                <w:kern w:val="0"/>
                <w:sz w:val="20"/>
                <w:szCs w:val="20"/>
                <w:lang w:bidi="ar"/>
              </w:rPr>
            </w:pPr>
          </w:p>
        </w:tc>
        <w:tc>
          <w:tcPr>
            <w:tcW w:w="15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i w:val="0"/>
                <w:color w:val="000000"/>
                <w:kern w:val="0"/>
                <w:sz w:val="20"/>
                <w:szCs w:val="20"/>
                <w:u w:val="none"/>
                <w:lang w:val="en-US" w:eastAsia="zh-CN" w:bidi="ar"/>
              </w:rPr>
              <w:t>金额</w:t>
            </w:r>
          </w:p>
        </w:tc>
        <w:tc>
          <w:tcPr>
            <w:tcW w:w="1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i w:val="0"/>
                <w:color w:val="000000"/>
                <w:kern w:val="0"/>
                <w:sz w:val="20"/>
                <w:szCs w:val="20"/>
                <w:u w:val="none"/>
                <w:lang w:val="en-US" w:eastAsia="zh-CN" w:bidi="ar"/>
              </w:rPr>
              <w:t>占比</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因公出国（境）费用</w:t>
            </w:r>
          </w:p>
        </w:tc>
        <w:tc>
          <w:tcPr>
            <w:tcW w:w="1400" w:type="dxa"/>
            <w:tcBorders>
              <w:tl2br w:val="nil"/>
              <w:tr2bl w:val="nil"/>
            </w:tcBorders>
            <w:shd w:val="clear" w:color="auto" w:fill="auto"/>
            <w:vAlign w:val="center"/>
          </w:tcPr>
          <w:p>
            <w:pPr>
              <w:jc w:val="right"/>
              <w:rPr>
                <w:rFonts w:hint="eastAsia" w:ascii="宋体" w:hAnsi="宋体" w:eastAsia="宋体" w:cs="宋体"/>
                <w:color w:val="000000"/>
                <w:kern w:val="0"/>
                <w:sz w:val="20"/>
                <w:szCs w:val="20"/>
                <w:lang w:bidi="ar"/>
              </w:rPr>
            </w:pPr>
          </w:p>
        </w:tc>
        <w:tc>
          <w:tcPr>
            <w:tcW w:w="1400" w:type="dxa"/>
            <w:tcBorders>
              <w:tl2br w:val="nil"/>
              <w:tr2bl w:val="nil"/>
            </w:tcBorders>
            <w:shd w:val="clear" w:color="auto" w:fill="auto"/>
            <w:vAlign w:val="center"/>
          </w:tcPr>
          <w:p>
            <w:pPr>
              <w:jc w:val="right"/>
              <w:rPr>
                <w:rFonts w:hint="eastAsia" w:ascii="宋体" w:hAnsi="宋体" w:eastAsia="宋体" w:cs="宋体"/>
                <w:color w:val="000000"/>
                <w:kern w:val="0"/>
                <w:sz w:val="20"/>
                <w:szCs w:val="20"/>
                <w:lang w:bidi="ar"/>
              </w:rPr>
            </w:pPr>
          </w:p>
        </w:tc>
        <w:tc>
          <w:tcPr>
            <w:tcW w:w="1556" w:type="dxa"/>
            <w:tcBorders>
              <w:tl2br w:val="nil"/>
              <w:tr2bl w:val="nil"/>
            </w:tcBorders>
            <w:shd w:val="clear" w:color="auto" w:fill="auto"/>
            <w:vAlign w:val="center"/>
          </w:tcPr>
          <w:p>
            <w:pPr>
              <w:jc w:val="right"/>
              <w:rPr>
                <w:rFonts w:hint="eastAsia" w:ascii="宋体" w:hAnsi="宋体" w:eastAsia="宋体" w:cs="宋体"/>
                <w:color w:val="000000"/>
                <w:kern w:val="0"/>
                <w:sz w:val="20"/>
                <w:szCs w:val="20"/>
                <w:lang w:bidi="ar"/>
              </w:rPr>
            </w:pPr>
          </w:p>
        </w:tc>
        <w:tc>
          <w:tcPr>
            <w:tcW w:w="1557" w:type="dxa"/>
            <w:tcBorders>
              <w:tl2br w:val="nil"/>
              <w:tr2bl w:val="nil"/>
            </w:tcBorders>
            <w:shd w:val="clear" w:color="auto" w:fill="auto"/>
            <w:vAlign w:val="center"/>
          </w:tcPr>
          <w:p>
            <w:pPr>
              <w:jc w:val="right"/>
              <w:rPr>
                <w:rFonts w:hint="eastAsia" w:ascii="宋体" w:hAnsi="宋体" w:eastAsia="宋体" w:cs="宋体"/>
                <w:color w:val="000000"/>
                <w:kern w:val="0"/>
                <w:sz w:val="20"/>
                <w:szCs w:val="20"/>
                <w:lang w:bidi="ar"/>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维修(护)费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highlight w:val="yellow"/>
              </w:rPr>
            </w:pPr>
            <w:r>
              <w:rPr>
                <w:rFonts w:hint="eastAsia" w:ascii="宋体" w:hAnsi="宋体" w:eastAsia="宋体" w:cs="宋体"/>
                <w:i w:val="0"/>
                <w:color w:val="000000"/>
                <w:kern w:val="0"/>
                <w:sz w:val="20"/>
                <w:szCs w:val="20"/>
                <w:u w:val="none"/>
                <w:lang w:val="en-US" w:eastAsia="zh-CN" w:bidi="ar"/>
              </w:rPr>
              <w:t xml:space="preserve"> 5.10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4.53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-0.57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-11.19%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租赁费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Cs w:val="21"/>
                <w:highlight w:val="yellow"/>
              </w:rPr>
            </w:pPr>
            <w:r>
              <w:rPr>
                <w:rFonts w:hint="eastAsia" w:ascii="宋体" w:hAnsi="宋体" w:eastAsia="宋体" w:cs="宋体"/>
                <w:i w:val="0"/>
                <w:color w:val="000000"/>
                <w:kern w:val="0"/>
                <w:sz w:val="20"/>
                <w:szCs w:val="20"/>
                <w:u w:val="none"/>
                <w:lang w:val="en-US" w:eastAsia="zh-CN" w:bidi="ar"/>
              </w:rPr>
              <w:t xml:space="preserve"> 1.17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Calibri" w:hAnsi="Calibri" w:eastAsia="宋体" w:cs="宋体"/>
                <w:color w:val="000000"/>
                <w:szCs w:val="21"/>
              </w:rPr>
            </w:pPr>
            <w:r>
              <w:rPr>
                <w:rFonts w:hint="eastAsia" w:ascii="宋体" w:hAnsi="宋体" w:eastAsia="宋体" w:cs="宋体"/>
                <w:i w:val="0"/>
                <w:color w:val="000000"/>
                <w:kern w:val="0"/>
                <w:sz w:val="20"/>
                <w:szCs w:val="20"/>
                <w:u w:val="none"/>
                <w:lang w:val="en-US" w:eastAsia="zh-CN" w:bidi="ar"/>
              </w:rPr>
              <w:t xml:space="preserve"> 0.83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-0.34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-29.35%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会议费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5.00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3.74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-1.26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-25.12%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培训费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1.00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0.71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-0.29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-28.55%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公务接待费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21.20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9.94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-11.26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-53.09%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专用材料费</w:t>
            </w: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被装购置费</w:t>
            </w: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专用燃料费</w:t>
            </w: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劳务费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Cs w:val="21"/>
              </w:rPr>
            </w:pPr>
            <w:r>
              <w:rPr>
                <w:rFonts w:hint="eastAsia" w:ascii="宋体" w:hAnsi="宋体" w:eastAsia="宋体" w:cs="宋体"/>
                <w:i w:val="0"/>
                <w:color w:val="000000"/>
                <w:kern w:val="0"/>
                <w:sz w:val="20"/>
                <w:szCs w:val="20"/>
                <w:u w:val="none"/>
                <w:lang w:val="en-US" w:eastAsia="zh-CN" w:bidi="ar"/>
              </w:rPr>
              <w:t xml:space="preserve"> 51.00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47.55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-3.45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-6.77%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委托业务费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Cs w:val="21"/>
              </w:rPr>
            </w:pPr>
            <w:r>
              <w:rPr>
                <w:rFonts w:hint="eastAsia" w:ascii="宋体" w:hAnsi="宋体" w:eastAsia="宋体" w:cs="宋体"/>
                <w:i w:val="0"/>
                <w:color w:val="000000"/>
                <w:kern w:val="0"/>
                <w:sz w:val="20"/>
                <w:szCs w:val="20"/>
                <w:u w:val="none"/>
                <w:lang w:val="en-US" w:eastAsia="zh-CN" w:bidi="ar"/>
              </w:rPr>
              <w:t xml:space="preserve"> 10.30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10.30 </w:t>
            </w: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356"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工会经费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highlight w:val="yellow"/>
              </w:rPr>
            </w:pPr>
            <w:r>
              <w:rPr>
                <w:rFonts w:hint="eastAsia" w:ascii="宋体" w:hAnsi="宋体" w:eastAsia="宋体" w:cs="宋体"/>
                <w:i w:val="0"/>
                <w:color w:val="000000"/>
                <w:kern w:val="0"/>
                <w:sz w:val="20"/>
                <w:szCs w:val="20"/>
                <w:u w:val="none"/>
                <w:lang w:val="en-US" w:eastAsia="zh-CN" w:bidi="ar"/>
              </w:rPr>
              <w:t xml:space="preserve"> 28.40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28.25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-0.15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福利费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Cs w:val="21"/>
              </w:rPr>
            </w:pPr>
            <w:r>
              <w:rPr>
                <w:rFonts w:hint="eastAsia" w:ascii="宋体" w:hAnsi="宋体" w:eastAsia="宋体" w:cs="宋体"/>
                <w:i w:val="0"/>
                <w:color w:val="000000"/>
                <w:kern w:val="0"/>
                <w:sz w:val="20"/>
                <w:szCs w:val="20"/>
                <w:u w:val="none"/>
                <w:lang w:val="en-US" w:eastAsia="zh-CN" w:bidi="ar"/>
              </w:rPr>
              <w:t xml:space="preserve"> 17.55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17.55 </w:t>
            </w: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公务用车运行维护费</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27.79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27.79 </w:t>
            </w: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其他交通费用</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54.30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51.12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-3.18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-5.86%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税金及附加费用</w:t>
            </w: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400" w:type="dxa"/>
            <w:tcBorders>
              <w:tl2br w:val="nil"/>
              <w:tr2bl w:val="nil"/>
            </w:tcBorders>
            <w:shd w:val="clear" w:color="auto" w:fill="auto"/>
            <w:vAlign w:val="center"/>
          </w:tcPr>
          <w:p>
            <w:pPr>
              <w:jc w:val="right"/>
              <w:rPr>
                <w:rFonts w:ascii="仿宋" w:hAnsi="仿宋" w:eastAsia="仿宋" w:cs="宋体"/>
                <w:color w:val="000000"/>
                <w:sz w:val="22"/>
              </w:rPr>
            </w:pPr>
          </w:p>
        </w:tc>
        <w:tc>
          <w:tcPr>
            <w:tcW w:w="1556" w:type="dxa"/>
            <w:tcBorders>
              <w:tl2br w:val="nil"/>
              <w:tr2bl w:val="nil"/>
            </w:tcBorders>
            <w:shd w:val="clear" w:color="auto" w:fill="auto"/>
            <w:vAlign w:val="center"/>
          </w:tcPr>
          <w:p>
            <w:pPr>
              <w:jc w:val="right"/>
              <w:rPr>
                <w:rFonts w:ascii="仿宋" w:hAnsi="仿宋" w:eastAsia="仿宋"/>
                <w:color w:val="000000"/>
                <w:sz w:val="22"/>
              </w:rPr>
            </w:pPr>
          </w:p>
        </w:tc>
        <w:tc>
          <w:tcPr>
            <w:tcW w:w="1557" w:type="dxa"/>
            <w:tcBorders>
              <w:tl2br w:val="nil"/>
              <w:tr2bl w:val="nil"/>
            </w:tcBorders>
            <w:shd w:val="clear" w:color="auto" w:fill="auto"/>
            <w:vAlign w:val="center"/>
          </w:tcPr>
          <w:p>
            <w:pPr>
              <w:jc w:val="right"/>
              <w:rPr>
                <w:rFonts w:ascii="仿宋" w:hAnsi="仿宋" w:eastAsia="仿宋"/>
                <w:color w:val="000000"/>
                <w:sz w:val="22"/>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2"/>
              </w:rPr>
            </w:pPr>
            <w:r>
              <w:rPr>
                <w:rFonts w:hint="eastAsia" w:ascii="宋体" w:hAnsi="宋体" w:eastAsia="宋体" w:cs="宋体"/>
                <w:i w:val="0"/>
                <w:color w:val="000000"/>
                <w:kern w:val="0"/>
                <w:sz w:val="20"/>
                <w:szCs w:val="20"/>
                <w:u w:val="none"/>
                <w:lang w:val="en-US" w:eastAsia="zh-CN" w:bidi="ar"/>
              </w:rPr>
              <w:t>其他商品和服务支出</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47.89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color w:val="000000"/>
                <w:kern w:val="0"/>
                <w:sz w:val="20"/>
                <w:szCs w:val="20"/>
                <w:u w:val="none"/>
                <w:lang w:val="en-US" w:eastAsia="zh-CN" w:bidi="ar"/>
              </w:rPr>
              <w:t xml:space="preserve"> 39.54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 xml:space="preserve"> -8.35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olor w:val="000000"/>
                <w:sz w:val="22"/>
              </w:rPr>
            </w:pPr>
            <w:r>
              <w:rPr>
                <w:rFonts w:hint="eastAsia" w:ascii="宋体" w:hAnsi="宋体" w:eastAsia="宋体" w:cs="宋体"/>
                <w:i w:val="0"/>
                <w:color w:val="000000"/>
                <w:kern w:val="0"/>
                <w:sz w:val="20"/>
                <w:szCs w:val="20"/>
                <w:u w:val="none"/>
                <w:lang w:val="en-US" w:eastAsia="zh-CN" w:bidi="ar"/>
              </w:rPr>
              <w:t>-17.44%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PrEx>
        <w:trPr>
          <w:cantSplit/>
          <w:trHeight w:val="270" w:hRule="atLeast"/>
          <w:tblHeader/>
        </w:trPr>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宋体"/>
                <w:b/>
                <w:bCs w:val="0"/>
                <w:color w:val="000000"/>
                <w:kern w:val="0"/>
                <w:sz w:val="22"/>
              </w:rPr>
            </w:pPr>
            <w:r>
              <w:rPr>
                <w:rFonts w:hint="eastAsia" w:ascii="宋体" w:hAnsi="宋体" w:eastAsia="宋体" w:cs="宋体"/>
                <w:b/>
                <w:bCs w:val="0"/>
                <w:i w:val="0"/>
                <w:color w:val="000000"/>
                <w:kern w:val="0"/>
                <w:sz w:val="20"/>
                <w:szCs w:val="20"/>
                <w:u w:val="none"/>
                <w:lang w:val="en-US" w:eastAsia="zh-CN" w:bidi="ar"/>
              </w:rPr>
              <w:t>合计</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b/>
                <w:bCs w:val="0"/>
                <w:color w:val="000000"/>
                <w:szCs w:val="21"/>
              </w:rPr>
            </w:pPr>
            <w:r>
              <w:rPr>
                <w:rFonts w:hint="eastAsia" w:ascii="宋体" w:hAnsi="宋体" w:eastAsia="宋体" w:cs="宋体"/>
                <w:b/>
                <w:bCs w:val="0"/>
                <w:i w:val="0"/>
                <w:color w:val="000000"/>
                <w:kern w:val="0"/>
                <w:sz w:val="20"/>
                <w:szCs w:val="20"/>
                <w:u w:val="none"/>
                <w:lang w:val="en-US" w:eastAsia="zh-CN" w:bidi="ar"/>
              </w:rPr>
              <w:t xml:space="preserve"> 367.31 </w:t>
            </w:r>
          </w:p>
        </w:tc>
        <w:tc>
          <w:tcPr>
            <w:tcW w:w="1400"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cs="宋体"/>
                <w:b/>
                <w:bCs w:val="0"/>
                <w:color w:val="000000"/>
                <w:sz w:val="22"/>
              </w:rPr>
            </w:pPr>
            <w:r>
              <w:rPr>
                <w:rFonts w:hint="eastAsia" w:ascii="宋体" w:hAnsi="宋体" w:eastAsia="宋体" w:cs="宋体"/>
                <w:b/>
                <w:bCs w:val="0"/>
                <w:i w:val="0"/>
                <w:color w:val="000000"/>
                <w:kern w:val="0"/>
                <w:sz w:val="20"/>
                <w:szCs w:val="20"/>
                <w:u w:val="none"/>
                <w:lang w:val="en-US" w:eastAsia="zh-CN" w:bidi="ar"/>
              </w:rPr>
              <w:t xml:space="preserve"> 332.64 </w:t>
            </w:r>
          </w:p>
        </w:tc>
        <w:tc>
          <w:tcPr>
            <w:tcW w:w="1556"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b/>
                <w:bCs w:val="0"/>
                <w:color w:val="000000"/>
                <w:sz w:val="22"/>
              </w:rPr>
            </w:pPr>
            <w:r>
              <w:rPr>
                <w:rFonts w:hint="eastAsia" w:ascii="宋体" w:hAnsi="宋体" w:eastAsia="宋体" w:cs="宋体"/>
                <w:b/>
                <w:bCs w:val="0"/>
                <w:i w:val="0"/>
                <w:color w:val="000000"/>
                <w:kern w:val="0"/>
                <w:sz w:val="20"/>
                <w:szCs w:val="20"/>
                <w:u w:val="none"/>
                <w:lang w:val="en-US" w:eastAsia="zh-CN" w:bidi="ar"/>
              </w:rPr>
              <w:t xml:space="preserve"> -34.66 </w:t>
            </w:r>
          </w:p>
        </w:tc>
        <w:tc>
          <w:tcPr>
            <w:tcW w:w="1557" w:type="dxa"/>
            <w:tcBorders>
              <w:tl2br w:val="nil"/>
              <w:tr2bl w:val="nil"/>
            </w:tcBorders>
            <w:shd w:val="clear" w:color="auto" w:fill="auto"/>
            <w:vAlign w:val="center"/>
          </w:tcPr>
          <w:p>
            <w:pPr>
              <w:keepNext w:val="0"/>
              <w:keepLines w:val="0"/>
              <w:widowControl/>
              <w:suppressLineNumbers w:val="0"/>
              <w:jc w:val="right"/>
              <w:textAlignment w:val="center"/>
              <w:rPr>
                <w:rFonts w:ascii="仿宋" w:hAnsi="仿宋" w:eastAsia="仿宋"/>
                <w:b/>
                <w:bCs w:val="0"/>
                <w:color w:val="000000"/>
                <w:sz w:val="22"/>
              </w:rPr>
            </w:pPr>
            <w:r>
              <w:rPr>
                <w:rFonts w:hint="eastAsia" w:ascii="宋体" w:hAnsi="宋体" w:eastAsia="宋体" w:cs="宋体"/>
                <w:b/>
                <w:bCs w:val="0"/>
                <w:i w:val="0"/>
                <w:color w:val="000000"/>
                <w:kern w:val="0"/>
                <w:sz w:val="20"/>
                <w:szCs w:val="20"/>
                <w:u w:val="none"/>
                <w:lang w:val="en-US" w:eastAsia="zh-CN" w:bidi="ar"/>
              </w:rPr>
              <w:t>-9.44%</w:t>
            </w:r>
          </w:p>
        </w:tc>
      </w:tr>
    </w:tbl>
    <w:p>
      <w:pPr>
        <w:pStyle w:val="3"/>
        <w:ind w:firstLine="470" w:firstLineChars="147"/>
        <w:rPr>
          <w:kern w:val="0"/>
        </w:rPr>
      </w:pPr>
      <w:r>
        <w:rPr>
          <w:rFonts w:hint="eastAsia"/>
          <w:b/>
          <w:bCs w:val="0"/>
          <w:kern w:val="0"/>
        </w:rPr>
        <w:t>三、绩效评价工作情况</w:t>
      </w:r>
      <w:bookmarkEnd w:id="2"/>
    </w:p>
    <w:p>
      <w:pPr>
        <w:spacing w:line="600" w:lineRule="exact"/>
        <w:ind w:firstLine="560" w:firstLineChars="200"/>
        <w:rPr>
          <w:sz w:val="28"/>
          <w:szCs w:val="28"/>
        </w:rPr>
      </w:pPr>
      <w:r>
        <w:rPr>
          <w:rFonts w:hint="eastAsia"/>
          <w:sz w:val="28"/>
          <w:szCs w:val="28"/>
        </w:rPr>
        <w:t>根据《湖南省财政厅关于做好2016年度省级财政资金绩效自评工作的通知》（湘财绩[2017]6号），省妇联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3"/>
        <w:ind w:firstLine="470" w:firstLineChars="147"/>
        <w:rPr>
          <w:kern w:val="0"/>
        </w:rPr>
      </w:pPr>
      <w:bookmarkStart w:id="3" w:name="_Toc461453653"/>
      <w:r>
        <w:rPr>
          <w:rFonts w:hint="eastAsia"/>
          <w:kern w:val="0"/>
        </w:rPr>
        <w:t>四、部门整体支出绩效情况</w:t>
      </w:r>
      <w:bookmarkEnd w:id="3"/>
    </w:p>
    <w:p>
      <w:pPr>
        <w:spacing w:line="600" w:lineRule="exact"/>
        <w:ind w:firstLine="560" w:firstLineChars="200"/>
        <w:rPr>
          <w:sz w:val="28"/>
          <w:szCs w:val="28"/>
        </w:rPr>
      </w:pPr>
      <w:bookmarkStart w:id="4" w:name="_Toc461453654"/>
      <w:r>
        <w:rPr>
          <w:rFonts w:hint="eastAsia"/>
          <w:sz w:val="28"/>
          <w:szCs w:val="28"/>
        </w:rPr>
        <w:t>2016年，各部门根据2016年</w:t>
      </w:r>
      <w:r>
        <w:rPr>
          <w:rFonts w:hint="eastAsia" w:ascii="Calibri" w:hAnsi="Calibri" w:eastAsia="宋体" w:cs="Times New Roman"/>
          <w:sz w:val="28"/>
          <w:szCs w:val="28"/>
        </w:rPr>
        <w:t>《湖南省妇联2016年工作要点》</w:t>
      </w:r>
      <w:r>
        <w:rPr>
          <w:rFonts w:hint="eastAsia"/>
          <w:sz w:val="28"/>
          <w:szCs w:val="28"/>
        </w:rPr>
        <w:t>，在中共湖南省委、省政府的领导下，紧密围绕经进一步解放和维护妇女、儿童权益中心工作，以助力思想引领和拓展创新为全年的工作主线，认真履行职责，较好地完成了年初确定的各项工作任务，为推进妇女儿童事业稳健发展做出了新的贡献，根据《部门整体支出绩效评价指标》评分，得分82分 （详见附表2）。主要绩效如下：</w:t>
      </w:r>
    </w:p>
    <w:bookmarkEnd w:id="4"/>
    <w:p>
      <w:pPr>
        <w:spacing w:before="260" w:after="260"/>
        <w:ind w:firstLine="640" w:firstLineChars="200"/>
        <w:rPr>
          <w:b/>
          <w:bCs/>
          <w:sz w:val="32"/>
          <w:szCs w:val="32"/>
        </w:rPr>
      </w:pPr>
      <w:r>
        <w:rPr>
          <w:rFonts w:hint="eastAsia"/>
          <w:b/>
          <w:bCs/>
          <w:sz w:val="32"/>
          <w:szCs w:val="32"/>
        </w:rPr>
        <w:t>（一）强化对妇女群众的思想教育和宣传引导，大力培育和践行社会主义核心价值观</w:t>
      </w:r>
    </w:p>
    <w:p>
      <w:pPr>
        <w:spacing w:line="360" w:lineRule="auto"/>
        <w:ind w:firstLine="560" w:firstLineChars="200"/>
        <w:rPr>
          <w:sz w:val="28"/>
          <w:szCs w:val="28"/>
        </w:rPr>
      </w:pPr>
      <w:r>
        <w:rPr>
          <w:rFonts w:hint="eastAsia"/>
          <w:b/>
          <w:bCs/>
          <w:sz w:val="28"/>
          <w:szCs w:val="28"/>
        </w:rPr>
        <w:t>1、认真学习贯彻中央和省委重要精神，不断推进精神文明建设</w:t>
      </w:r>
    </w:p>
    <w:p>
      <w:pPr>
        <w:spacing w:line="600" w:lineRule="exact"/>
        <w:ind w:firstLine="560" w:firstLineChars="200"/>
        <w:rPr>
          <w:sz w:val="28"/>
          <w:szCs w:val="28"/>
        </w:rPr>
      </w:pPr>
      <w:r>
        <w:rPr>
          <w:rFonts w:hint="eastAsia"/>
          <w:sz w:val="28"/>
          <w:szCs w:val="28"/>
        </w:rPr>
        <w:t>以党的十八届四中、五中、六中全会精神、中央、省委党的群团工作会议精神和习近平总书记系列重要讲话精神为指导，2016年省妇联启动了全国寻找“最美家庭”、</w:t>
      </w:r>
      <w:r>
        <w:rPr>
          <w:rFonts w:hint="eastAsia"/>
          <w:sz w:val="28"/>
          <w:szCs w:val="28"/>
          <w:lang w:val="en"/>
        </w:rPr>
        <w:t>“最美湘女”、“最美创业”等</w:t>
      </w:r>
      <w:r>
        <w:rPr>
          <w:rFonts w:hint="eastAsia"/>
          <w:sz w:val="28"/>
          <w:szCs w:val="28"/>
        </w:rPr>
        <w:t>活动，</w:t>
      </w:r>
      <w:r>
        <w:rPr>
          <w:rFonts w:hint="eastAsia"/>
          <w:sz w:val="28"/>
          <w:szCs w:val="28"/>
          <w:lang w:val="en"/>
        </w:rPr>
        <w:t>开展了“我与中国梦”、“女性讲坛”等宣传实践活动，</w:t>
      </w:r>
      <w:r>
        <w:rPr>
          <w:rFonts w:hint="eastAsia"/>
          <w:sz w:val="28"/>
          <w:szCs w:val="28"/>
        </w:rPr>
        <w:t>举办讲坛，着力加强妇女思想道德建设，进一步加强对妇女群众的思想引领和宣传教育，深入推进和扩大社会影响力。</w:t>
      </w:r>
    </w:p>
    <w:p>
      <w:pPr>
        <w:spacing w:line="360" w:lineRule="auto"/>
        <w:ind w:firstLine="560" w:firstLineChars="200"/>
        <w:rPr>
          <w:b/>
          <w:bCs/>
          <w:sz w:val="28"/>
          <w:szCs w:val="28"/>
        </w:rPr>
      </w:pPr>
      <w:r>
        <w:rPr>
          <w:rFonts w:hint="eastAsia"/>
          <w:b/>
          <w:bCs/>
          <w:sz w:val="28"/>
          <w:szCs w:val="28"/>
        </w:rPr>
        <w:t>2、持续开展巾帼志愿服务</w:t>
      </w:r>
    </w:p>
    <w:p>
      <w:pPr>
        <w:spacing w:line="600" w:lineRule="exact"/>
        <w:ind w:firstLine="560" w:firstLineChars="200"/>
        <w:rPr>
          <w:sz w:val="28"/>
          <w:szCs w:val="28"/>
        </w:rPr>
      </w:pPr>
      <w:r>
        <w:rPr>
          <w:rFonts w:hint="eastAsia"/>
          <w:sz w:val="28"/>
          <w:szCs w:val="28"/>
        </w:rPr>
        <w:t>组织开展了文明劝导、扶贫帮困、关爱助学、维权送法等各种适合社区和家庭特点的、家庭迫切需要的、巾帼志愿者力所能及的志愿活动，培育出家政服务、家庭教育、心理抚慰、法律援助、医疗护理、助老为老等各类巾帼志愿服务队伍6000多支，打造了婚姻家庭纠纷调解、家庭律师社区行、家庭教育讲师团、扶贫助困、禁毒妈妈等活动品牌。省妇联牵头组织的家庭律师志愿者、家庭教育讲师团分赴全省各地开展公益讲座上千场，受益人群上百万。</w:t>
      </w:r>
    </w:p>
    <w:p>
      <w:pPr>
        <w:spacing w:line="360" w:lineRule="auto"/>
        <w:ind w:firstLine="560" w:firstLineChars="200"/>
        <w:rPr>
          <w:b/>
          <w:bCs/>
          <w:sz w:val="28"/>
          <w:szCs w:val="28"/>
        </w:rPr>
      </w:pPr>
      <w:r>
        <w:rPr>
          <w:rFonts w:hint="eastAsia"/>
          <w:b/>
          <w:bCs/>
          <w:sz w:val="28"/>
          <w:szCs w:val="28"/>
        </w:rPr>
        <w:t>3、努力做好妇女理论研究</w:t>
      </w:r>
    </w:p>
    <w:p>
      <w:pPr>
        <w:spacing w:line="600" w:lineRule="exact"/>
        <w:ind w:firstLine="560" w:firstLineChars="200"/>
        <w:rPr>
          <w:sz w:val="28"/>
          <w:szCs w:val="28"/>
        </w:rPr>
      </w:pPr>
      <w:r>
        <w:rPr>
          <w:rFonts w:hint="eastAsia"/>
          <w:sz w:val="28"/>
          <w:szCs w:val="28"/>
        </w:rPr>
        <w:t>抽取长沙、湘西自治州等6市州为调研样本市州，发放调查问卷1800份，回收有效问卷1706份，在“走访+问卷+座谈”基础上，了解掌握当前我省妇女群众的思想状况，形成《湖南省妇女思想引导工作调研报告》，为增强妇女思想引导工作的针对性提供了意见和建议。同时，配合省文明办、省文化厅、省新闻出版广电局开展了相关专题调研，提交了开展文明旅游宣传引导、公共文化服务体系建设工作履职情况、全民阅读进家庭及学雷锋巾帼志愿服务活动有关情况的调研报告，为党委政府部门开展相关工作提供了决策参考。指导支持妇女学专家开展湖南省社科基金重点项目《传承和弘扬湖湘女性文化对策研究》和《向警予妇女解放思想研究》两个课题研究。此外，省妇联牵头组织编撰的《湖南省志·妇女团体志（1978-2002）》和《湖南省志（综合本）·妇女团体篇》初稿已经完成。</w:t>
      </w:r>
    </w:p>
    <w:p>
      <w:pPr>
        <w:spacing w:line="360" w:lineRule="auto"/>
        <w:ind w:firstLine="560" w:firstLineChars="200"/>
        <w:rPr>
          <w:b/>
          <w:bCs/>
          <w:sz w:val="28"/>
          <w:szCs w:val="28"/>
        </w:rPr>
      </w:pPr>
      <w:r>
        <w:rPr>
          <w:rFonts w:hint="eastAsia"/>
          <w:b/>
          <w:bCs/>
          <w:sz w:val="28"/>
          <w:szCs w:val="28"/>
        </w:rPr>
        <w:t>4、构建完善宣传思想工作大格局</w:t>
      </w:r>
    </w:p>
    <w:p>
      <w:pPr>
        <w:ind w:firstLine="560" w:firstLineChars="200"/>
      </w:pPr>
      <w:r>
        <w:rPr>
          <w:rFonts w:hint="eastAsia"/>
          <w:sz w:val="28"/>
          <w:szCs w:val="28"/>
        </w:rPr>
        <w:t>省妇联联合省委宣传部、省社科联，打造湖湘大学堂·女性讲坛品牌，召开学了术研讨会，制定《湖南省妇联关于加强网络及新媒体建设的实施方案》，为妇联系统打造网络及新媒体矩阵、加强妇联声音传播、建设“网上妇女之家”提出规划蓝图。</w:t>
      </w:r>
    </w:p>
    <w:p>
      <w:pPr>
        <w:spacing w:before="260" w:after="260"/>
        <w:ind w:firstLine="560" w:firstLineChars="200"/>
        <w:rPr>
          <w:b/>
          <w:bCs/>
          <w:sz w:val="28"/>
          <w:szCs w:val="28"/>
        </w:rPr>
      </w:pPr>
      <w:r>
        <w:rPr>
          <w:rFonts w:hint="eastAsia"/>
          <w:b/>
          <w:bCs/>
          <w:sz w:val="28"/>
          <w:szCs w:val="28"/>
        </w:rPr>
        <w:t>（二）加强基层组织建设、人事管理和干部教育培训工作</w:t>
      </w:r>
    </w:p>
    <w:p>
      <w:pPr>
        <w:spacing w:line="360" w:lineRule="auto"/>
        <w:ind w:firstLine="560" w:firstLineChars="200"/>
        <w:rPr>
          <w:b/>
          <w:bCs/>
          <w:sz w:val="28"/>
          <w:szCs w:val="28"/>
        </w:rPr>
      </w:pPr>
      <w:r>
        <w:rPr>
          <w:rFonts w:hint="eastAsia"/>
          <w:b/>
          <w:bCs/>
          <w:sz w:val="28"/>
          <w:szCs w:val="28"/>
        </w:rPr>
        <w:t>1、加强基层妇联组织建设工作</w:t>
      </w:r>
    </w:p>
    <w:p>
      <w:pPr>
        <w:ind w:firstLine="560" w:firstLineChars="200"/>
        <w:rPr>
          <w:sz w:val="28"/>
          <w:szCs w:val="28"/>
        </w:rPr>
      </w:pPr>
      <w:r>
        <w:rPr>
          <w:rFonts w:hint="eastAsia"/>
          <w:sz w:val="28"/>
          <w:szCs w:val="28"/>
        </w:rPr>
        <w:t>完成了《湖南省基层妇联组织建设情况调研报告》、《湖南省培养选拔女干部情况调研报告》，举办并下发了《湖南省妇女联合会印发&lt;湖南省基层妇联组织改革实施方案&gt;的通知》（湘妇字[2016]44号），举办了全省基层妇联组织建设推进会，创建了第六批省级示范“妇女之家”工作。</w:t>
      </w:r>
    </w:p>
    <w:p>
      <w:pPr>
        <w:spacing w:line="360" w:lineRule="auto"/>
        <w:ind w:firstLine="560" w:firstLineChars="200"/>
        <w:rPr>
          <w:b/>
          <w:bCs/>
          <w:sz w:val="28"/>
          <w:szCs w:val="28"/>
        </w:rPr>
      </w:pPr>
      <w:r>
        <w:rPr>
          <w:rFonts w:hint="eastAsia"/>
          <w:b/>
          <w:bCs/>
          <w:sz w:val="28"/>
          <w:szCs w:val="28"/>
        </w:rPr>
        <w:t>2、加强人事管理、干部教育培训工作</w:t>
      </w:r>
    </w:p>
    <w:p>
      <w:pPr>
        <w:spacing w:line="600" w:lineRule="exact"/>
        <w:ind w:firstLine="560" w:firstLineChars="200"/>
        <w:rPr>
          <w:sz w:val="28"/>
          <w:szCs w:val="28"/>
        </w:rPr>
      </w:pPr>
      <w:r>
        <w:rPr>
          <w:rFonts w:hint="eastAsia"/>
          <w:b/>
          <w:bCs/>
          <w:sz w:val="28"/>
          <w:szCs w:val="28"/>
        </w:rPr>
        <w:t>一是</w:t>
      </w:r>
      <w:r>
        <w:rPr>
          <w:rFonts w:hint="eastAsia"/>
          <w:sz w:val="28"/>
          <w:szCs w:val="28"/>
        </w:rPr>
        <w:t>整章建制，做好领导干部个人事项报告填报和随机抽查核实工作。按照省委组织部干部监督处要求，做好2015年度机关和直属单位副处以上干部个人重大事项报告工作、2015年度考核工作，完成机关1名副主席和1名副巡视员的民主推荐工作，完成3人调出、1人退休、4人调入的编制、工资异动。</w:t>
      </w:r>
    </w:p>
    <w:p>
      <w:pPr>
        <w:spacing w:line="600" w:lineRule="exact"/>
        <w:ind w:firstLine="560" w:firstLineChars="200"/>
        <w:rPr>
          <w:sz w:val="28"/>
          <w:szCs w:val="28"/>
        </w:rPr>
      </w:pPr>
      <w:r>
        <w:rPr>
          <w:rFonts w:hint="eastAsia"/>
          <w:b/>
          <w:bCs/>
          <w:sz w:val="28"/>
          <w:szCs w:val="28"/>
        </w:rPr>
        <w:t>二是</w:t>
      </w:r>
      <w:r>
        <w:rPr>
          <w:rFonts w:hint="eastAsia"/>
          <w:sz w:val="28"/>
          <w:szCs w:val="28"/>
        </w:rPr>
        <w:t>多次开展干部教育培训。如：与省委组织部干教处、省妇干校联合下发《关于下达湖南省妇女干部学校2016年调训计划的通知》，目前共培训基层妇联干部50名；与省委组织部联合调训一期省妇联干部党性教育培训班，共调训65人到中国井冈山干部教育学院进行党员干部党性教育、革命传统教育和基本国情教育。</w:t>
      </w:r>
    </w:p>
    <w:p>
      <w:pPr>
        <w:ind w:firstLine="560" w:firstLineChars="200"/>
        <w:rPr>
          <w:b/>
          <w:bCs/>
          <w:sz w:val="28"/>
          <w:szCs w:val="28"/>
        </w:rPr>
      </w:pPr>
      <w:r>
        <w:rPr>
          <w:rFonts w:hint="eastAsia"/>
          <w:b/>
          <w:bCs/>
          <w:sz w:val="28"/>
          <w:szCs w:val="28"/>
        </w:rPr>
        <w:t>3、推动妇女参政，筹备建立湖南省女性人才数据库</w:t>
      </w:r>
    </w:p>
    <w:p>
      <w:pPr>
        <w:ind w:firstLine="420" w:firstLineChars="200"/>
        <w:rPr>
          <w:sz w:val="28"/>
          <w:szCs w:val="28"/>
        </w:rPr>
      </w:pPr>
      <w:r>
        <w:rPr>
          <w:rFonts w:hint="eastAsia" w:asciiTheme="majorEastAsia" w:hAnsiTheme="majorEastAsia" w:eastAsiaTheme="majorEastAsia" w:cstheme="majorEastAsia"/>
          <w:szCs w:val="21"/>
        </w:rPr>
        <w:t xml:space="preserve">  </w:t>
      </w:r>
      <w:r>
        <w:rPr>
          <w:rFonts w:hint="eastAsia"/>
          <w:sz w:val="28"/>
          <w:szCs w:val="28"/>
        </w:rPr>
        <w:t>按照省委组织部的要求完成《2011-2015年湖南省培养选拔女干部、发展女党员工作规划》执行落实情况报告，筹备建立湖南省女性人才数据库。</w:t>
      </w:r>
    </w:p>
    <w:p>
      <w:pPr>
        <w:spacing w:before="260" w:after="260"/>
        <w:ind w:firstLine="560" w:firstLineChars="200"/>
        <w:rPr>
          <w:b/>
          <w:bCs/>
          <w:sz w:val="28"/>
          <w:szCs w:val="28"/>
        </w:rPr>
      </w:pPr>
      <w:r>
        <w:rPr>
          <w:rFonts w:hint="eastAsia"/>
          <w:b/>
          <w:bCs/>
          <w:sz w:val="28"/>
          <w:szCs w:val="28"/>
        </w:rPr>
        <w:t>（三）</w:t>
      </w:r>
      <w:r>
        <w:rPr>
          <w:b/>
          <w:bCs/>
          <w:sz w:val="28"/>
          <w:szCs w:val="28"/>
        </w:rPr>
        <w:t>着力创新创业，推进巾帼脱贫，引领妇女在</w:t>
      </w:r>
      <w:r>
        <w:rPr>
          <w:rFonts w:hint="eastAsia"/>
          <w:b/>
          <w:bCs/>
          <w:sz w:val="28"/>
          <w:szCs w:val="28"/>
        </w:rPr>
        <w:t>“</w:t>
      </w:r>
      <w:r>
        <w:rPr>
          <w:b/>
          <w:bCs/>
          <w:sz w:val="28"/>
          <w:szCs w:val="28"/>
        </w:rPr>
        <w:t>十三五</w:t>
      </w:r>
      <w:r>
        <w:rPr>
          <w:rFonts w:hint="eastAsia"/>
          <w:b/>
          <w:bCs/>
          <w:sz w:val="28"/>
          <w:szCs w:val="28"/>
        </w:rPr>
        <w:t>”</w:t>
      </w:r>
      <w:r>
        <w:rPr>
          <w:b/>
          <w:bCs/>
          <w:sz w:val="28"/>
          <w:szCs w:val="28"/>
        </w:rPr>
        <w:t>中建功立业</w:t>
      </w:r>
    </w:p>
    <w:p>
      <w:pPr>
        <w:spacing w:line="360" w:lineRule="auto"/>
        <w:ind w:firstLine="560" w:firstLineChars="200"/>
        <w:rPr>
          <w:b/>
          <w:bCs/>
          <w:sz w:val="28"/>
          <w:szCs w:val="28"/>
        </w:rPr>
      </w:pPr>
      <w:r>
        <w:rPr>
          <w:rFonts w:hint="eastAsia"/>
          <w:b/>
          <w:bCs/>
          <w:sz w:val="28"/>
          <w:szCs w:val="28"/>
        </w:rPr>
        <w:t>1、引领和激励各行业妇女立足岗位建功立业</w:t>
      </w:r>
    </w:p>
    <w:p>
      <w:pPr>
        <w:spacing w:line="600" w:lineRule="exact"/>
        <w:ind w:firstLine="560" w:firstLineChars="200"/>
        <w:rPr>
          <w:sz w:val="28"/>
          <w:szCs w:val="28"/>
        </w:rPr>
      </w:pPr>
      <w:r>
        <w:rPr>
          <w:rFonts w:hint="eastAsia"/>
          <w:sz w:val="28"/>
          <w:szCs w:val="28"/>
        </w:rPr>
        <w:t>全年县以上妇联共表彰巾帼建功活动先进工作者715人、巾帼建功标兵637名。其中省妇联评选表彰省巾帼建功“十佳”30名、省巾帼文明岗105个、省巾帼建功先进集体22个、省巾帼建功先进个人45名，并在株洲举办了省巾帼文明岗培训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b/>
          <w:bCs/>
          <w:sz w:val="28"/>
          <w:szCs w:val="28"/>
        </w:rPr>
      </w:pPr>
      <w:r>
        <w:rPr>
          <w:rFonts w:hint="eastAsia"/>
          <w:b/>
          <w:bCs/>
          <w:sz w:val="28"/>
          <w:szCs w:val="28"/>
        </w:rPr>
        <w:t>2、引领和激励农村妇女为发展现代农业做贡献</w:t>
      </w:r>
    </w:p>
    <w:p>
      <w:pPr>
        <w:spacing w:line="600" w:lineRule="exact"/>
        <w:ind w:firstLine="560" w:firstLineChars="200"/>
        <w:rPr>
          <w:sz w:val="28"/>
          <w:szCs w:val="28"/>
        </w:rPr>
      </w:pPr>
      <w:r>
        <w:rPr>
          <w:rFonts w:hint="eastAsia"/>
          <w:sz w:val="28"/>
          <w:szCs w:val="28"/>
        </w:rPr>
        <w:t>2016年全省有妇女领办或合办的农村妇女专业合作社3576个，有235853名妇女加入农村妇女合作组织。全年县以上妇联创建巾帼现代农业科技示范基地251个，其中省级基地20个，全国基地7个。在省农委等部门大力支持下，省妇联依托省女企业家协会成立了省农产品女经纪人专业委员会，吸收会员182名，涉及粮食、蔬菜、花卉、苗木、果业、畜禽、销售等多个领域。委员会为广大会员提供了沟通交流、抱团发展、权益维护的平台。</w:t>
      </w:r>
    </w:p>
    <w:p>
      <w:pPr>
        <w:spacing w:line="360" w:lineRule="auto"/>
        <w:ind w:firstLine="560" w:firstLineChars="200"/>
        <w:rPr>
          <w:b/>
          <w:bCs/>
          <w:sz w:val="28"/>
          <w:szCs w:val="28"/>
        </w:rPr>
      </w:pPr>
      <w:r>
        <w:rPr>
          <w:rFonts w:hint="eastAsia"/>
          <w:b/>
          <w:bCs/>
          <w:sz w:val="28"/>
          <w:szCs w:val="28"/>
        </w:rPr>
        <w:t>3、引领和帮助广大妇女提高综合素质，增长创业就业本领</w:t>
      </w:r>
    </w:p>
    <w:p>
      <w:pPr>
        <w:spacing w:line="600" w:lineRule="exact"/>
        <w:ind w:firstLine="560" w:firstLineChars="200"/>
        <w:rPr>
          <w:sz w:val="28"/>
          <w:szCs w:val="28"/>
        </w:rPr>
      </w:pPr>
      <w:r>
        <w:rPr>
          <w:rFonts w:hint="eastAsia"/>
          <w:sz w:val="28"/>
          <w:szCs w:val="28"/>
        </w:rPr>
        <w:t>全省县以上妇联举办电子商务培训146班次，举办巾帼家政培训班263班次，举办巾帼致富带头人培训班122班次，举办新型职业女农民培训班201班次，举办女大学生就业创业培训班98班次，举办劳动力转移及扶贫培训班408班次，共培训妇女32252人次。省妇联与省科协在新晃县举办了农村妇女致富带头人科学素质培训班；与联合省农委举办全省新型职业女农民培训班；委托“凤网e家”平台深入8个贫困县为当地500余名贫困妇女开展免费家政技能培训；委托相关企业、合作社在吉首、永兴、隆回等贫困地区开办手工编织培训班7期；先后组织6批共300多名新型职业女农民参加北京农家女学校培训；组织40名新型职业女农民前往福建漳州参加全国妇联新型职业女农民培训班。</w:t>
      </w:r>
    </w:p>
    <w:p>
      <w:pPr>
        <w:spacing w:line="360" w:lineRule="auto"/>
        <w:ind w:firstLine="560" w:firstLineChars="200"/>
        <w:rPr>
          <w:b/>
          <w:bCs/>
          <w:sz w:val="28"/>
          <w:szCs w:val="28"/>
        </w:rPr>
      </w:pPr>
      <w:r>
        <w:rPr>
          <w:rFonts w:hint="eastAsia"/>
          <w:b/>
          <w:bCs/>
          <w:sz w:val="28"/>
          <w:szCs w:val="28"/>
        </w:rPr>
        <w:t>4、打造平台，激励和促进广大妇女创业就业</w:t>
      </w:r>
    </w:p>
    <w:p>
      <w:pPr>
        <w:spacing w:line="600" w:lineRule="exact"/>
        <w:ind w:firstLine="560" w:firstLineChars="200"/>
        <w:rPr>
          <w:sz w:val="28"/>
          <w:szCs w:val="28"/>
        </w:rPr>
      </w:pPr>
      <w:r>
        <w:rPr>
          <w:rFonts w:hint="eastAsia"/>
          <w:sz w:val="28"/>
          <w:szCs w:val="28"/>
        </w:rPr>
        <w:t>通过大力发展妇女手工编织、巾帼家政服务业、落实小额贷款等工作，全力以赴促进妇女创业就业，引领广大妇女在建设美丽富饶幸福新湖南中发挥“半边天”作用，动员全省妇女在经济社会发展中奉献智慧和力量。</w:t>
      </w:r>
    </w:p>
    <w:p>
      <w:pPr>
        <w:spacing w:line="600" w:lineRule="exact"/>
        <w:ind w:firstLine="560" w:firstLineChars="200"/>
        <w:rPr>
          <w:sz w:val="28"/>
          <w:szCs w:val="28"/>
        </w:rPr>
      </w:pPr>
      <w:r>
        <w:rPr>
          <w:rFonts w:hint="eastAsia"/>
          <w:b/>
          <w:bCs/>
          <w:sz w:val="28"/>
          <w:szCs w:val="28"/>
        </w:rPr>
        <w:t>一是发展妇女手工编织业。</w:t>
      </w:r>
      <w:r>
        <w:rPr>
          <w:rFonts w:hint="eastAsia"/>
          <w:sz w:val="28"/>
          <w:szCs w:val="28"/>
        </w:rPr>
        <w:t>承办了全国妇联手工编织骨干湖南培训班，各市州妇联、省女红协会全体会员和部分市州手工编织协会会员共计180余人参加培训。在开慧镇创建湖湘女红文化产业园，在长沙雨花非遗馆创建湖南妇女手工艺品培训展销中心，为妇女手工产品走向市场搭建免费展销平台。全省各级妇联创建妇女手工编织基地451个，成立手工编织协会52个，吸收会员2960名。</w:t>
      </w:r>
    </w:p>
    <w:p>
      <w:pPr>
        <w:spacing w:line="600" w:lineRule="exact"/>
        <w:ind w:firstLine="560" w:firstLineChars="200"/>
        <w:rPr>
          <w:sz w:val="28"/>
          <w:szCs w:val="28"/>
        </w:rPr>
      </w:pPr>
      <w:r>
        <w:rPr>
          <w:rFonts w:hint="eastAsia"/>
          <w:b/>
          <w:bCs/>
          <w:sz w:val="28"/>
          <w:szCs w:val="28"/>
        </w:rPr>
        <w:t>二是发展巾帼家政服务业。</w:t>
      </w:r>
      <w:r>
        <w:rPr>
          <w:rFonts w:hint="eastAsia"/>
          <w:sz w:val="28"/>
          <w:szCs w:val="28"/>
        </w:rPr>
        <w:t>全省县以上妇联创建巾帼家政培训示范基地90个，创办巾帼家政服务企业（机构）110个，举办巾帼家政培训班263次，培训20768人次。</w:t>
      </w:r>
    </w:p>
    <w:p>
      <w:pPr>
        <w:spacing w:line="600" w:lineRule="exact"/>
        <w:ind w:firstLine="560" w:firstLineChars="200"/>
        <w:rPr>
          <w:sz w:val="28"/>
          <w:szCs w:val="28"/>
        </w:rPr>
      </w:pPr>
      <w:r>
        <w:rPr>
          <w:rFonts w:hint="eastAsia"/>
          <w:b/>
          <w:bCs/>
          <w:sz w:val="28"/>
          <w:szCs w:val="28"/>
        </w:rPr>
        <w:t>三是用足妇女小额担保、财政贴息贷款政策。</w:t>
      </w:r>
      <w:r>
        <w:rPr>
          <w:rFonts w:hint="eastAsia"/>
          <w:sz w:val="28"/>
          <w:szCs w:val="28"/>
        </w:rPr>
        <w:t>2015年至今，全省共有3.6万名妇女获得创业担保贷款31.8亿元，带动8.9万名妇女就业。</w:t>
      </w:r>
    </w:p>
    <w:p>
      <w:pPr>
        <w:spacing w:line="600" w:lineRule="exact"/>
        <w:ind w:firstLine="560" w:firstLineChars="200"/>
        <w:rPr>
          <w:sz w:val="28"/>
          <w:szCs w:val="28"/>
        </w:rPr>
      </w:pPr>
      <w:r>
        <w:rPr>
          <w:rFonts w:hint="eastAsia"/>
          <w:b/>
          <w:bCs/>
          <w:sz w:val="28"/>
          <w:szCs w:val="28"/>
        </w:rPr>
        <w:t>四是开展女大学生创业就业实践活动。</w:t>
      </w:r>
      <w:r>
        <w:rPr>
          <w:rFonts w:hint="eastAsia"/>
          <w:sz w:val="28"/>
          <w:szCs w:val="28"/>
        </w:rPr>
        <w:t>各级妇联单独或联合举办针对女大学生创业就业培训98班次，培训女大学生5432人。</w:t>
      </w:r>
    </w:p>
    <w:p>
      <w:pPr>
        <w:spacing w:line="600" w:lineRule="exact"/>
        <w:ind w:firstLine="560" w:firstLineChars="200"/>
        <w:rPr>
          <w:rFonts w:asciiTheme="majorEastAsia" w:hAnsiTheme="majorEastAsia" w:eastAsiaTheme="majorEastAsia" w:cstheme="majorEastAsia"/>
          <w:szCs w:val="21"/>
        </w:rPr>
      </w:pPr>
      <w:r>
        <w:rPr>
          <w:rFonts w:hint="eastAsia"/>
          <w:b/>
          <w:bCs/>
          <w:sz w:val="28"/>
          <w:szCs w:val="28"/>
        </w:rPr>
        <w:t>五是开展“春风行动”。</w:t>
      </w:r>
      <w:r>
        <w:rPr>
          <w:rFonts w:hint="eastAsia"/>
          <w:sz w:val="28"/>
          <w:szCs w:val="28"/>
        </w:rPr>
        <w:t>全省各级妇联组织专场招聘会524场，提供岗位34.2万个，成功推介17.6万名妇女就业。</w:t>
      </w:r>
    </w:p>
    <w:p>
      <w:pPr>
        <w:spacing w:before="260" w:after="260" w:line="600" w:lineRule="exact"/>
        <w:ind w:firstLine="560" w:firstLineChars="200"/>
        <w:rPr>
          <w:b/>
          <w:bCs/>
          <w:sz w:val="28"/>
          <w:szCs w:val="28"/>
        </w:rPr>
      </w:pPr>
      <w:r>
        <w:rPr>
          <w:rFonts w:hint="eastAsia"/>
          <w:b/>
          <w:bCs/>
          <w:sz w:val="28"/>
          <w:szCs w:val="28"/>
        </w:rPr>
        <w:t>（四）坚持服务维权，推动解决妇女儿童保护和发展中的重难点问题</w:t>
      </w:r>
    </w:p>
    <w:p>
      <w:pPr>
        <w:spacing w:line="600" w:lineRule="exact"/>
        <w:ind w:firstLine="560" w:firstLineChars="200"/>
        <w:rPr>
          <w:sz w:val="28"/>
          <w:szCs w:val="28"/>
        </w:rPr>
      </w:pPr>
      <w:r>
        <w:rPr>
          <w:rFonts w:hint="eastAsia"/>
          <w:b/>
          <w:bCs/>
          <w:sz w:val="28"/>
          <w:szCs w:val="28"/>
        </w:rPr>
        <w:t>一是</w:t>
      </w:r>
      <w:r>
        <w:rPr>
          <w:rFonts w:hint="eastAsia"/>
          <w:sz w:val="28"/>
          <w:szCs w:val="28"/>
        </w:rPr>
        <w:t>把握维权源头，加强部门联动，推动有利于妇女保护和发展的政策法规出台；</w:t>
      </w:r>
      <w:r>
        <w:rPr>
          <w:rFonts w:hint="eastAsia"/>
          <w:b/>
          <w:bCs/>
          <w:sz w:val="28"/>
          <w:szCs w:val="28"/>
        </w:rPr>
        <w:t>二是</w:t>
      </w:r>
      <w:r>
        <w:rPr>
          <w:rFonts w:hint="eastAsia"/>
          <w:sz w:val="28"/>
          <w:szCs w:val="28"/>
        </w:rPr>
        <w:t>抓住重要节点，深入宣传教育，推动《反家庭暴力法》的学习贯彻实施；</w:t>
      </w:r>
      <w:r>
        <w:rPr>
          <w:rFonts w:hint="eastAsia"/>
          <w:b/>
          <w:bCs/>
          <w:sz w:val="28"/>
          <w:szCs w:val="28"/>
        </w:rPr>
        <w:t>三是</w:t>
      </w:r>
      <w:r>
        <w:rPr>
          <w:rFonts w:hint="eastAsia"/>
          <w:sz w:val="28"/>
          <w:szCs w:val="28"/>
        </w:rPr>
        <w:t>围绕家庭纠纷，深入调查研究，推动我省婚姻家庭纠纷多元化解机制建设；</w:t>
      </w:r>
      <w:r>
        <w:rPr>
          <w:rFonts w:hint="eastAsia"/>
          <w:b/>
          <w:bCs/>
          <w:sz w:val="28"/>
          <w:szCs w:val="28"/>
        </w:rPr>
        <w:t>四是</w:t>
      </w:r>
      <w:r>
        <w:rPr>
          <w:rFonts w:hint="eastAsia"/>
          <w:sz w:val="28"/>
          <w:szCs w:val="28"/>
        </w:rPr>
        <w:t>立足维权难点，畅通维权渠道，推动妇女儿童获得更方便实效的维权服务；</w:t>
      </w:r>
      <w:r>
        <w:rPr>
          <w:rFonts w:hint="eastAsia"/>
          <w:b/>
          <w:bCs/>
          <w:sz w:val="28"/>
          <w:szCs w:val="28"/>
        </w:rPr>
        <w:t>五是</w:t>
      </w:r>
      <w:r>
        <w:rPr>
          <w:rFonts w:hint="eastAsia"/>
          <w:sz w:val="28"/>
          <w:szCs w:val="28"/>
        </w:rPr>
        <w:t>注重能力建设，抓好学习培训，不断提升妇女儿童维权工作水平。</w:t>
      </w:r>
    </w:p>
    <w:p>
      <w:pPr>
        <w:spacing w:before="260" w:after="260"/>
        <w:ind w:firstLine="560" w:firstLineChars="200"/>
        <w:rPr>
          <w:b/>
          <w:bCs/>
          <w:sz w:val="28"/>
          <w:szCs w:val="28"/>
        </w:rPr>
      </w:pPr>
      <w:r>
        <w:rPr>
          <w:rFonts w:hint="eastAsia"/>
          <w:b/>
          <w:bCs/>
          <w:sz w:val="28"/>
          <w:szCs w:val="28"/>
        </w:rPr>
        <w:t>（五）认真践行“服务儿童、服务妇女、服务家庭”，推进妇女儿童事业稳步发展</w:t>
      </w:r>
    </w:p>
    <w:p>
      <w:pPr>
        <w:spacing w:line="360" w:lineRule="auto"/>
        <w:ind w:firstLine="560" w:firstLineChars="200"/>
        <w:rPr>
          <w:b/>
          <w:bCs/>
          <w:sz w:val="28"/>
          <w:szCs w:val="28"/>
        </w:rPr>
      </w:pPr>
      <w:r>
        <w:rPr>
          <w:rFonts w:hint="eastAsia"/>
          <w:b/>
          <w:bCs/>
          <w:sz w:val="28"/>
          <w:szCs w:val="28"/>
        </w:rPr>
        <w:t>1、将农村妇女“两癌”免费检查纳入民生项目，多方争取资金，加强部门合作，救助贫困“两癌”妇女</w:t>
      </w:r>
    </w:p>
    <w:p>
      <w:pPr>
        <w:spacing w:line="600" w:lineRule="exact"/>
        <w:ind w:firstLine="560" w:firstLineChars="200"/>
        <w:rPr>
          <w:sz w:val="28"/>
          <w:szCs w:val="28"/>
        </w:rPr>
      </w:pPr>
      <w:r>
        <w:rPr>
          <w:rFonts w:hint="eastAsia"/>
          <w:sz w:val="28"/>
          <w:szCs w:val="28"/>
        </w:rPr>
        <w:t>2016年，各级财政为“两癌”免费检查项目投入资金1.9亿元，其中中央补助项目经费2473万元，省级6823万元，市县配套9810万元。在项目实施过程中，省财政特别追加1400万元用于购置“两癌”检查医疗设备。从今年4月项目启动至11月底，全省已累计为112万名妇女进行了免费检查。全省争取全国妇联救助款2990万元，争取省级救助款1200万元，对3990名建档立卡的“两癌”贫困妇女进行了救助。各市州妇联募集资金400多万元，救助贫困“两癌”妇女4000多人。</w:t>
      </w:r>
    </w:p>
    <w:p>
      <w:pPr>
        <w:numPr>
          <w:ilvl w:val="0"/>
          <w:numId w:val="2"/>
        </w:numPr>
        <w:spacing w:line="360" w:lineRule="auto"/>
        <w:ind w:firstLine="560" w:firstLineChars="200"/>
        <w:rPr>
          <w:sz w:val="28"/>
          <w:szCs w:val="28"/>
        </w:rPr>
      </w:pPr>
      <w:r>
        <w:rPr>
          <w:rFonts w:hint="eastAsia"/>
          <w:b/>
          <w:bCs/>
          <w:sz w:val="28"/>
          <w:szCs w:val="28"/>
        </w:rPr>
        <w:t>是积极开展妇女就业技能培训及服务妇女工作</w:t>
      </w:r>
    </w:p>
    <w:p>
      <w:pPr>
        <w:spacing w:line="360" w:lineRule="auto"/>
        <w:ind w:firstLine="560" w:firstLineChars="200"/>
        <w:rPr>
          <w:sz w:val="28"/>
          <w:szCs w:val="28"/>
        </w:rPr>
      </w:pPr>
      <w:r>
        <w:rPr>
          <w:rFonts w:hint="eastAsia"/>
          <w:sz w:val="28"/>
          <w:szCs w:val="28"/>
        </w:rPr>
        <w:t>全年共开办家政服务员、月嫂培训班9期，参训400余人次，并全部推荐就业。共举办瑜伽班136场次，培训2584人次。用心做好女厅干服务工作，全年6支女厅干活动队在“中心”，活动共计372场，达到7000人次，真诚热情、细致周到的服务受到女厅干的赞扬。</w:t>
      </w:r>
    </w:p>
    <w:p>
      <w:pPr>
        <w:numPr>
          <w:ilvl w:val="0"/>
          <w:numId w:val="2"/>
        </w:numPr>
        <w:snapToGrid w:val="0"/>
        <w:spacing w:line="600" w:lineRule="exact"/>
        <w:ind w:firstLine="560" w:firstLineChars="200"/>
        <w:rPr>
          <w:b/>
          <w:bCs/>
          <w:sz w:val="28"/>
          <w:szCs w:val="28"/>
        </w:rPr>
      </w:pPr>
      <w:r>
        <w:rPr>
          <w:rFonts w:hint="eastAsia"/>
          <w:b/>
          <w:bCs/>
          <w:sz w:val="28"/>
          <w:szCs w:val="28"/>
        </w:rPr>
        <w:t>加强家庭服务网络呼叫平台建设</w:t>
      </w:r>
    </w:p>
    <w:p>
      <w:pPr>
        <w:snapToGrid w:val="0"/>
        <w:spacing w:line="600" w:lineRule="exact"/>
        <w:ind w:firstLine="560" w:firstLineChars="200"/>
        <w:rPr>
          <w:rFonts w:ascii="宋体" w:hAnsi="宋体" w:eastAsia="宋体" w:cs="Times New Roman"/>
          <w:sz w:val="28"/>
          <w:szCs w:val="28"/>
        </w:rPr>
      </w:pPr>
      <w:r>
        <w:rPr>
          <w:rFonts w:hint="eastAsia"/>
          <w:sz w:val="28"/>
          <w:szCs w:val="28"/>
        </w:rPr>
        <w:t>湖南（湘潭）96580家庭服务网络呼叫中心运营一年以来，加盟商户为71家，为市民服务近1000次。截至12月底，96580呼叫中心2016年度呼入来电近1万次，平台总话务量达67万余次，全年通话质检显示客户满意率为100%。96580门户网站访问量24649次，微信平台全年累积推送新闻资讯及“中心”动态等300条。</w:t>
      </w:r>
    </w:p>
    <w:p>
      <w:pPr>
        <w:pStyle w:val="3"/>
        <w:ind w:firstLine="627" w:firstLineChars="196"/>
        <w:rPr>
          <w:kern w:val="0"/>
        </w:rPr>
      </w:pPr>
      <w:bookmarkStart w:id="5" w:name="_Toc461453672"/>
      <w:r>
        <w:rPr>
          <w:rFonts w:hint="eastAsia"/>
          <w:kern w:val="0"/>
        </w:rPr>
        <w:t>五、存在的主要问题</w:t>
      </w:r>
      <w:bookmarkEnd w:id="5"/>
    </w:p>
    <w:p>
      <w:pPr>
        <w:pStyle w:val="4"/>
        <w:ind w:firstLine="470" w:firstLineChars="147"/>
      </w:pPr>
      <w:bookmarkStart w:id="6" w:name="_Toc461453673"/>
      <w:r>
        <w:rPr>
          <w:rFonts w:hint="eastAsia"/>
        </w:rPr>
        <w:t>（一）预算调整过大</w:t>
      </w:r>
      <w:bookmarkEnd w:id="6"/>
    </w:p>
    <w:p>
      <w:pPr>
        <w:widowControl/>
        <w:snapToGrid w:val="0"/>
        <w:spacing w:before="100" w:beforeAutospacing="1" w:after="100" w:afterAutospacing="1" w:line="600" w:lineRule="exact"/>
        <w:ind w:firstLine="560" w:firstLineChars="200"/>
        <w:rPr>
          <w:sz w:val="28"/>
          <w:szCs w:val="28"/>
        </w:rPr>
      </w:pPr>
      <w:bookmarkStart w:id="7" w:name="_Toc461453674"/>
      <w:r>
        <w:rPr>
          <w:rFonts w:hint="eastAsia"/>
          <w:sz w:val="28"/>
          <w:szCs w:val="28"/>
        </w:rPr>
        <w:t>2016年初省财政批复部门预算为1</w:t>
      </w:r>
      <w:r>
        <w:rPr>
          <w:rFonts w:hint="eastAsia" w:ascii="Calibri" w:hAnsi="Calibri" w:eastAsia="宋体" w:cs="Times New Roman"/>
          <w:sz w:val="28"/>
          <w:szCs w:val="28"/>
        </w:rPr>
        <w:t>,</w:t>
      </w:r>
      <w:r>
        <w:rPr>
          <w:rFonts w:hint="eastAsia"/>
          <w:sz w:val="28"/>
          <w:szCs w:val="28"/>
        </w:rPr>
        <w:t>445.03万元，年中追加经费</w:t>
      </w:r>
      <w:r>
        <w:rPr>
          <w:rFonts w:hint="eastAsia" w:ascii="Calibri" w:hAnsi="Calibri" w:eastAsia="宋体" w:cs="Times New Roman"/>
          <w:sz w:val="28"/>
          <w:szCs w:val="28"/>
        </w:rPr>
        <w:t>1,507.28</w:t>
      </w:r>
      <w:r>
        <w:rPr>
          <w:rFonts w:hint="eastAsia"/>
          <w:sz w:val="28"/>
          <w:szCs w:val="28"/>
        </w:rPr>
        <w:t>万元；2016年实际支出2</w:t>
      </w:r>
      <w:r>
        <w:rPr>
          <w:rFonts w:hint="eastAsia" w:ascii="Calibri" w:hAnsi="Calibri" w:eastAsia="宋体" w:cs="Times New Roman"/>
          <w:sz w:val="28"/>
          <w:szCs w:val="28"/>
        </w:rPr>
        <w:t>,</w:t>
      </w:r>
      <w:r>
        <w:rPr>
          <w:rFonts w:hint="eastAsia"/>
          <w:sz w:val="28"/>
          <w:szCs w:val="28"/>
        </w:rPr>
        <w:t>966.33万元，超年初预算1</w:t>
      </w:r>
      <w:r>
        <w:rPr>
          <w:rFonts w:hint="eastAsia" w:ascii="Calibri" w:hAnsi="Calibri" w:eastAsia="宋体" w:cs="Times New Roman"/>
          <w:sz w:val="28"/>
          <w:szCs w:val="28"/>
        </w:rPr>
        <w:t>,</w:t>
      </w:r>
      <w:r>
        <w:rPr>
          <w:rFonts w:hint="eastAsia"/>
          <w:sz w:val="28"/>
          <w:szCs w:val="28"/>
        </w:rPr>
        <w:t>521.30万元，占年初预算的105.28%，预算调整过大。</w:t>
      </w:r>
    </w:p>
    <w:bookmarkEnd w:id="7"/>
    <w:p>
      <w:pPr>
        <w:pStyle w:val="4"/>
        <w:ind w:firstLine="470" w:firstLineChars="147"/>
      </w:pPr>
      <w:r>
        <w:rPr>
          <w:rFonts w:hint="eastAsia"/>
        </w:rPr>
        <w:t>（二）固定资产管理有待改进</w:t>
      </w:r>
    </w:p>
    <w:p>
      <w:pPr>
        <w:ind w:firstLine="560" w:firstLineChars="200"/>
        <w:rPr>
          <w:sz w:val="28"/>
          <w:szCs w:val="28"/>
        </w:rPr>
      </w:pPr>
      <w:r>
        <w:rPr>
          <w:rFonts w:hint="eastAsia"/>
          <w:sz w:val="28"/>
          <w:szCs w:val="28"/>
        </w:rPr>
        <w:t>经对省妇联固定资产采购、入账及管理情况核查，发现固定资产存在固定资产入账不及时等问题，固定资产管理有待改进。如：2016年湖南妇女儿童活动中心增加房屋账面价值981</w:t>
      </w:r>
      <w:r>
        <w:rPr>
          <w:rFonts w:hint="eastAsia"/>
          <w:sz w:val="28"/>
          <w:szCs w:val="28"/>
          <w:lang w:val="en-US" w:eastAsia="zh-CN"/>
        </w:rPr>
        <w:t>.</w:t>
      </w:r>
      <w:r>
        <w:rPr>
          <w:rFonts w:hint="eastAsia"/>
          <w:sz w:val="28"/>
          <w:szCs w:val="28"/>
        </w:rPr>
        <w:t>7</w:t>
      </w:r>
      <w:r>
        <w:rPr>
          <w:rFonts w:hint="eastAsia"/>
          <w:sz w:val="28"/>
          <w:szCs w:val="28"/>
          <w:lang w:val="en-US" w:eastAsia="zh-CN"/>
        </w:rPr>
        <w:t>8万</w:t>
      </w:r>
      <w:r>
        <w:rPr>
          <w:rFonts w:hint="eastAsia"/>
          <w:sz w:val="28"/>
          <w:szCs w:val="28"/>
        </w:rPr>
        <w:t>元，系2004年10月对活动中心扩建改造产生，该项目已于2005年竣工，省财政投资评审中心2006年完成决算。</w:t>
      </w:r>
      <w:bookmarkStart w:id="8" w:name="_Toc461453675"/>
    </w:p>
    <w:p>
      <w:pPr>
        <w:keepNext w:val="0"/>
        <w:keepLines w:val="0"/>
        <w:pageBreakBefore w:val="0"/>
        <w:widowControl w:val="0"/>
        <w:kinsoku/>
        <w:wordWrap/>
        <w:overflowPunct/>
        <w:topLinePunct w:val="0"/>
        <w:autoSpaceDE/>
        <w:autoSpaceDN/>
        <w:bidi w:val="0"/>
        <w:adjustRightInd/>
        <w:snapToGrid/>
        <w:spacing w:before="260" w:after="260" w:line="240" w:lineRule="auto"/>
        <w:ind w:left="0" w:leftChars="0" w:right="0" w:rightChars="0" w:firstLine="640" w:firstLineChars="200"/>
        <w:jc w:val="both"/>
        <w:textAlignment w:val="auto"/>
        <w:outlineLvl w:val="9"/>
        <w:rPr>
          <w:rFonts w:asciiTheme="majorHAnsi" w:hAnsiTheme="majorHAnsi" w:eastAsiaTheme="majorEastAsia" w:cstheme="majorBidi"/>
          <w:b/>
          <w:bCs/>
          <w:kern w:val="0"/>
          <w:sz w:val="32"/>
          <w:szCs w:val="32"/>
        </w:rPr>
      </w:pPr>
      <w:r>
        <w:rPr>
          <w:rFonts w:hint="eastAsia" w:asciiTheme="majorHAnsi" w:hAnsiTheme="majorHAnsi" w:eastAsiaTheme="majorEastAsia" w:cstheme="majorBidi"/>
          <w:b/>
          <w:bCs/>
          <w:kern w:val="0"/>
          <w:sz w:val="32"/>
          <w:szCs w:val="32"/>
        </w:rPr>
        <w:t>六、改进措施和有关建议</w:t>
      </w:r>
      <w:bookmarkEnd w:id="8"/>
    </w:p>
    <w:p>
      <w:pPr>
        <w:pStyle w:val="4"/>
        <w:ind w:firstLine="470" w:firstLineChars="147"/>
      </w:pPr>
      <w:bookmarkStart w:id="9" w:name="_Toc461453676"/>
      <w:r>
        <w:rPr>
          <w:rFonts w:hint="eastAsia"/>
        </w:rPr>
        <w:t>（一）科学合理编制预算，并严格执行</w:t>
      </w:r>
      <w:bookmarkEnd w:id="9"/>
    </w:p>
    <w:p>
      <w:pPr>
        <w:widowControl/>
        <w:snapToGrid w:val="0"/>
        <w:spacing w:before="100" w:beforeAutospacing="1" w:after="100" w:afterAutospacing="1" w:line="600" w:lineRule="exact"/>
        <w:ind w:firstLine="560" w:firstLineChars="200"/>
        <w:jc w:val="left"/>
        <w:rPr>
          <w:rFonts w:hint="eastAsia" w:ascii="ˎ̥" w:hAnsi="ˎ̥"/>
          <w:color w:val="000000"/>
          <w:sz w:val="28"/>
          <w:szCs w:val="28"/>
        </w:rPr>
      </w:pPr>
      <w:r>
        <w:rPr>
          <w:rFonts w:hint="eastAsia"/>
          <w:sz w:val="28"/>
          <w:szCs w:val="28"/>
        </w:rPr>
        <w:t>建议按照《预算法》及其实施条例的相关规定，</w:t>
      </w:r>
      <w:r>
        <w:rPr>
          <w:sz w:val="28"/>
          <w:szCs w:val="28"/>
        </w:rPr>
        <w:t>加强预算编制的基础工作，强化支出预算管理，减少频繁追加预算，</w:t>
      </w:r>
      <w:r>
        <w:rPr>
          <w:rFonts w:hint="eastAsia"/>
          <w:sz w:val="28"/>
          <w:szCs w:val="28"/>
        </w:rPr>
        <w:t>结合上一年的支出实际和下年度的收支预测，科学合理的</w:t>
      </w:r>
      <w:r>
        <w:rPr>
          <w:sz w:val="28"/>
          <w:szCs w:val="28"/>
        </w:rPr>
        <w:t>细化预算编制，提高财政资金使用的规范性</w:t>
      </w:r>
      <w:r>
        <w:rPr>
          <w:rFonts w:hint="eastAsia"/>
          <w:sz w:val="28"/>
          <w:szCs w:val="28"/>
        </w:rPr>
        <w:t>。同时在编制预算项目时与财务核算科目结合起来，避免项目支出与基本支出划分不准和实际支出时难以确定支出类别。</w:t>
      </w:r>
    </w:p>
    <w:p>
      <w:pPr>
        <w:pStyle w:val="4"/>
        <w:ind w:firstLine="470" w:firstLineChars="147"/>
      </w:pPr>
      <w:bookmarkStart w:id="10" w:name="_Toc461453678"/>
      <w:r>
        <w:rPr>
          <w:rFonts w:hint="eastAsia"/>
        </w:rPr>
        <w:t>（二）严格执行相关制度、规范资产管理，提高财务信息质量</w:t>
      </w:r>
      <w:bookmarkEnd w:id="10"/>
    </w:p>
    <w:p>
      <w:pPr>
        <w:widowControl/>
        <w:snapToGrid w:val="0"/>
        <w:spacing w:before="100" w:beforeAutospacing="1" w:after="100" w:afterAutospacing="1" w:line="600" w:lineRule="exact"/>
        <w:ind w:firstLine="560" w:firstLineChars="200"/>
        <w:jc w:val="left"/>
        <w:rPr>
          <w:sz w:val="28"/>
          <w:szCs w:val="28"/>
        </w:rPr>
      </w:pPr>
      <w:r>
        <w:rPr>
          <w:rFonts w:hint="eastAsia"/>
          <w:sz w:val="28"/>
          <w:szCs w:val="28"/>
        </w:rPr>
        <w:t>严格按照《行政单位会计制度》、《行政单位财务规则》、《湖南省妇联国有资产管理办法》等规定，结合实际情况严格执行相关制度，规范财务核算准确性和及时性，加强资产管理效力。</w:t>
      </w:r>
    </w:p>
    <w:p>
      <w:pPr>
        <w:pStyle w:val="3"/>
        <w:ind w:firstLine="470" w:firstLineChars="147"/>
        <w:rPr>
          <w:kern w:val="0"/>
        </w:rPr>
      </w:pPr>
      <w:bookmarkStart w:id="11" w:name="_Toc461453680"/>
      <w:r>
        <w:rPr>
          <w:rFonts w:hint="eastAsia"/>
          <w:kern w:val="0"/>
        </w:rPr>
        <w:t>七、报告附表</w:t>
      </w:r>
      <w:bookmarkEnd w:id="11"/>
    </w:p>
    <w:p>
      <w:pPr>
        <w:widowControl/>
        <w:snapToGrid w:val="0"/>
        <w:spacing w:before="100" w:beforeAutospacing="1" w:after="100" w:afterAutospacing="1"/>
        <w:ind w:firstLine="560" w:firstLineChars="200"/>
        <w:rPr>
          <w:sz w:val="28"/>
          <w:szCs w:val="28"/>
        </w:rPr>
      </w:pPr>
      <w:r>
        <w:rPr>
          <w:rFonts w:hint="eastAsia"/>
          <w:sz w:val="28"/>
          <w:szCs w:val="28"/>
        </w:rPr>
        <w:t>附表一：部门整体支出基础数据表</w:t>
      </w:r>
    </w:p>
    <w:p>
      <w:pPr>
        <w:widowControl/>
        <w:snapToGrid w:val="0"/>
        <w:spacing w:before="100" w:beforeAutospacing="1" w:after="100" w:afterAutospacing="1"/>
        <w:ind w:firstLine="560" w:firstLineChars="200"/>
        <w:rPr>
          <w:rFonts w:hint="eastAsia"/>
          <w:sz w:val="28"/>
          <w:szCs w:val="28"/>
        </w:rPr>
      </w:pPr>
      <w:r>
        <w:rPr>
          <w:rFonts w:hint="eastAsia"/>
          <w:sz w:val="28"/>
          <w:szCs w:val="28"/>
        </w:rPr>
        <w:t>附表二：部门整体支出绩效评价指标表</w:t>
      </w:r>
    </w:p>
    <w:p>
      <w:pPr>
        <w:widowControl/>
        <w:snapToGrid w:val="0"/>
        <w:spacing w:before="100" w:beforeAutospacing="1" w:after="100" w:afterAutospacing="1"/>
        <w:ind w:firstLine="560" w:firstLineChars="200"/>
        <w:rPr>
          <w:rFonts w:hint="eastAsia"/>
          <w:sz w:val="28"/>
          <w:szCs w:val="28"/>
        </w:rPr>
      </w:pPr>
    </w:p>
    <w:p>
      <w:pPr>
        <w:widowControl/>
        <w:snapToGrid w:val="0"/>
        <w:spacing w:before="100" w:beforeAutospacing="1" w:after="100" w:afterAutospacing="1"/>
        <w:rPr>
          <w:rFonts w:hint="eastAsia"/>
          <w:sz w:val="28"/>
          <w:szCs w:val="28"/>
        </w:rPr>
      </w:pPr>
    </w:p>
    <w:tbl>
      <w:tblPr>
        <w:tblStyle w:val="27"/>
        <w:tblW w:w="9230" w:type="dxa"/>
        <w:tblInd w:w="93" w:type="dxa"/>
        <w:tblLayout w:type="fixed"/>
        <w:tblCellMar>
          <w:top w:w="0" w:type="dxa"/>
          <w:left w:w="108" w:type="dxa"/>
          <w:bottom w:w="0" w:type="dxa"/>
          <w:right w:w="108" w:type="dxa"/>
        </w:tblCellMar>
      </w:tblPr>
      <w:tblGrid>
        <w:gridCol w:w="2580"/>
        <w:gridCol w:w="980"/>
        <w:gridCol w:w="1000"/>
        <w:gridCol w:w="1040"/>
        <w:gridCol w:w="1140"/>
        <w:gridCol w:w="1060"/>
        <w:gridCol w:w="1430"/>
      </w:tblGrid>
      <w:tr>
        <w:tblPrEx>
          <w:tblLayout w:type="fixed"/>
        </w:tblPrEx>
        <w:trPr>
          <w:trHeight w:val="540" w:hRule="atLeast"/>
        </w:trPr>
        <w:tc>
          <w:tcPr>
            <w:tcW w:w="9230" w:type="dxa"/>
            <w:gridSpan w:val="7"/>
            <w:tcBorders>
              <w:top w:val="nil"/>
              <w:left w:val="nil"/>
              <w:bottom w:val="nil"/>
              <w:right w:val="nil"/>
            </w:tcBorders>
            <w:shd w:val="clear" w:color="auto" w:fill="auto"/>
            <w:vAlign w:val="center"/>
          </w:tcPr>
          <w:p>
            <w:pPr>
              <w:widowControl/>
              <w:snapToGrid w:val="0"/>
              <w:spacing w:before="100" w:beforeAutospacing="1" w:after="100" w:afterAutospacing="1" w:line="600" w:lineRule="exact"/>
              <w:jc w:val="left"/>
              <w:rPr>
                <w:rFonts w:cs="宋体" w:asciiTheme="majorEastAsia" w:hAnsiTheme="majorEastAsia" w:eastAsiaTheme="majorEastAsia"/>
                <w:kern w:val="0"/>
                <w:sz w:val="28"/>
                <w:szCs w:val="28"/>
              </w:rPr>
            </w:pPr>
            <w:r>
              <w:rPr>
                <w:rFonts w:hint="eastAsia"/>
              </w:rPr>
              <w:t>附表一</w:t>
            </w:r>
          </w:p>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部门整体支出基础数据表</w:t>
            </w:r>
          </w:p>
          <w:p>
            <w:pPr>
              <w:widowControl/>
              <w:snapToGrid w:val="0"/>
              <w:spacing w:before="100" w:beforeAutospacing="1" w:after="100" w:afterAutospacing="1" w:line="600" w:lineRule="exact"/>
              <w:jc w:val="right"/>
              <w:rPr>
                <w:rFonts w:ascii="黑体" w:hAnsi="黑体" w:eastAsia="黑体" w:cs="宋体"/>
                <w:kern w:val="0"/>
                <w:sz w:val="30"/>
                <w:szCs w:val="30"/>
              </w:rPr>
            </w:pPr>
            <w:r>
              <w:rPr>
                <w:rFonts w:hint="eastAsia" w:ascii="仿宋_GB2312" w:hAnsi="宋体" w:eastAsia="仿宋_GB2312" w:cs="宋体"/>
                <w:color w:val="000000"/>
                <w:kern w:val="0"/>
                <w:sz w:val="24"/>
                <w:szCs w:val="24"/>
              </w:rPr>
              <w:t>金额单位：万元</w:t>
            </w:r>
          </w:p>
        </w:tc>
      </w:tr>
      <w:tr>
        <w:tblPrEx>
          <w:tblLayout w:type="fixed"/>
        </w:tblPrEx>
        <w:trPr>
          <w:trHeight w:val="285" w:hRule="atLeast"/>
        </w:trPr>
        <w:tc>
          <w:tcPr>
            <w:tcW w:w="2580" w:type="dxa"/>
            <w:vMerge w:val="restart"/>
            <w:tcBorders>
              <w:top w:val="single" w:color="auto" w:sz="12"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财政供养人员情况</w:t>
            </w:r>
          </w:p>
        </w:tc>
        <w:tc>
          <w:tcPr>
            <w:tcW w:w="1980" w:type="dxa"/>
            <w:gridSpan w:val="2"/>
            <w:tcBorders>
              <w:top w:val="single" w:color="auto" w:sz="12"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编制数</w:t>
            </w:r>
          </w:p>
        </w:tc>
        <w:tc>
          <w:tcPr>
            <w:tcW w:w="2180" w:type="dxa"/>
            <w:gridSpan w:val="2"/>
            <w:tcBorders>
              <w:top w:val="single" w:color="auto" w:sz="12"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2016年实际在职人数</w:t>
            </w:r>
          </w:p>
        </w:tc>
        <w:tc>
          <w:tcPr>
            <w:tcW w:w="2490" w:type="dxa"/>
            <w:gridSpan w:val="2"/>
            <w:tcBorders>
              <w:top w:val="single" w:color="auto" w:sz="12" w:space="0"/>
              <w:left w:val="nil"/>
              <w:bottom w:val="dotted" w:color="auto" w:sz="4" w:space="0"/>
              <w:right w:val="nil"/>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控制率</w:t>
            </w:r>
          </w:p>
        </w:tc>
      </w:tr>
      <w:tr>
        <w:tblPrEx>
          <w:tblLayout w:type="fixed"/>
        </w:tblPrEx>
        <w:trPr>
          <w:trHeight w:val="285" w:hRule="atLeast"/>
        </w:trPr>
        <w:tc>
          <w:tcPr>
            <w:tcW w:w="2580" w:type="dxa"/>
            <w:vMerge w:val="continue"/>
            <w:tcBorders>
              <w:top w:val="dotted" w:color="auto" w:sz="4" w:space="0"/>
              <w:left w:val="nil"/>
              <w:bottom w:val="dotted" w:color="auto" w:sz="4" w:space="0"/>
              <w:right w:val="dotted" w:color="auto" w:sz="4" w:space="0"/>
            </w:tcBorders>
            <w:vAlign w:val="center"/>
          </w:tcPr>
          <w:p>
            <w:pPr>
              <w:widowControl/>
              <w:jc w:val="left"/>
              <w:rPr>
                <w:rFonts w:ascii="宋体" w:hAnsi="宋体" w:eastAsia="宋体" w:cs="宋体"/>
                <w:b/>
                <w:bCs/>
                <w:color w:val="000000"/>
                <w:kern w:val="0"/>
                <w:sz w:val="20"/>
                <w:szCs w:val="20"/>
              </w:rPr>
            </w:pP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经费控制情况</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2015年决算数</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2016年预算总额</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2016年决算数</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三公经费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96.45 </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63.70 </w:t>
            </w: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35.56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1、公务用车购置及运行费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62.82</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27.50 </w:t>
            </w: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25.50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其中： 公务用车购置费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jc w:val="right"/>
              <w:rPr>
                <w:rFonts w:ascii="宋体" w:hAnsi="宋体" w:eastAsia="宋体" w:cs="宋体"/>
                <w:color w:val="000000"/>
                <w:kern w:val="0"/>
                <w:sz w:val="20"/>
                <w:szCs w:val="20"/>
              </w:rPr>
            </w:pP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PrEx>
        <w:trPr>
          <w:trHeight w:val="259"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公务车运行维护费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62.82</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27.50 </w:t>
            </w: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25.50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2、出国费用</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10.58</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15.00 </w:t>
            </w: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PrEx>
        <w:trPr>
          <w:trHeight w:val="259"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3、公务接待费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23.05</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21.20 </w:t>
            </w: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10.06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其中：国内接待费</w:t>
            </w:r>
          </w:p>
        </w:tc>
        <w:tc>
          <w:tcPr>
            <w:tcW w:w="1980"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23.05</w:t>
            </w:r>
          </w:p>
        </w:tc>
        <w:tc>
          <w:tcPr>
            <w:tcW w:w="2180" w:type="dxa"/>
            <w:gridSpan w:val="2"/>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21.20 </w:t>
            </w:r>
          </w:p>
        </w:tc>
        <w:tc>
          <w:tcPr>
            <w:tcW w:w="2490" w:type="dxa"/>
            <w:gridSpan w:val="2"/>
            <w:tcBorders>
              <w:top w:val="dotted" w:color="auto" w:sz="4" w:space="0"/>
              <w:left w:val="dotted" w:color="auto" w:sz="4" w:space="0"/>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 xml:space="preserve">   10.06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国（境）外接待费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jc w:val="right"/>
              <w:rPr>
                <w:rFonts w:ascii="宋体" w:hAnsi="宋体" w:eastAsia="宋体" w:cs="宋体"/>
                <w:color w:val="000000"/>
                <w:kern w:val="0"/>
                <w:sz w:val="20"/>
                <w:szCs w:val="20"/>
              </w:rPr>
            </w:pP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项目支出：</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1,292.72</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2,312.38</w:t>
            </w:r>
          </w:p>
        </w:tc>
        <w:tc>
          <w:tcPr>
            <w:tcW w:w="2490" w:type="dxa"/>
            <w:gridSpan w:val="2"/>
            <w:tcBorders>
              <w:top w:val="dotted" w:color="auto" w:sz="4" w:space="0"/>
              <w:left w:val="nil"/>
              <w:bottom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1,277.85</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1、业务工作专项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1,292.72</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2,312.38 </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1,277.85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2、运行维护专项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jc w:val="right"/>
              <w:rPr>
                <w:rFonts w:ascii="宋体" w:hAnsi="宋体" w:eastAsia="宋体" w:cs="宋体"/>
                <w:color w:val="000000"/>
                <w:kern w:val="0"/>
                <w:sz w:val="20"/>
                <w:szCs w:val="20"/>
              </w:rPr>
            </w:pP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jc w:val="right"/>
              <w:rPr>
                <w:rFonts w:ascii="宋体" w:hAnsi="宋体" w:eastAsia="宋体" w:cs="宋体"/>
                <w:color w:val="000000"/>
                <w:kern w:val="0"/>
                <w:sz w:val="20"/>
                <w:szCs w:val="20"/>
              </w:rPr>
            </w:pP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415.13</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367.31 </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332.64</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其中：办公经费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330.32</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309.91 </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279.09</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水费、电费、差旅费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70.83</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51.40 </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49.09</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会议费、培训费</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13.98</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6.00 </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4.46</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政府采购金额</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0.10</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20.69</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部门整体支出预算调整</w:t>
            </w:r>
          </w:p>
        </w:tc>
        <w:tc>
          <w:tcPr>
            <w:tcW w:w="19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180" w:type="dxa"/>
            <w:gridSpan w:val="2"/>
            <w:tcBorders>
              <w:top w:val="dotted" w:color="auto" w:sz="4" w:space="0"/>
              <w:left w:val="nil"/>
              <w:bottom w:val="dotted" w:color="auto" w:sz="4" w:space="0"/>
              <w:right w:val="dotted"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490" w:type="dxa"/>
            <w:gridSpan w:val="2"/>
            <w:tcBorders>
              <w:top w:val="dotted" w:color="auto" w:sz="4" w:space="0"/>
              <w:left w:val="nil"/>
              <w:bottom w:val="dotted" w:color="auto" w:sz="4" w:space="0"/>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不适应</w:t>
            </w:r>
          </w:p>
        </w:tc>
      </w:tr>
      <w:tr>
        <w:tblPrEx>
          <w:tblLayout w:type="fixed"/>
        </w:tblPrEx>
        <w:trPr>
          <w:trHeight w:val="559"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楼堂馆所控制情况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（2016年完工项目）</w:t>
            </w:r>
          </w:p>
        </w:tc>
        <w:tc>
          <w:tcPr>
            <w:tcW w:w="98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批复规模（㎡）</w:t>
            </w:r>
          </w:p>
        </w:tc>
        <w:tc>
          <w:tcPr>
            <w:tcW w:w="100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实际规模（㎡）</w:t>
            </w:r>
          </w:p>
        </w:tc>
        <w:tc>
          <w:tcPr>
            <w:tcW w:w="104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规模控制率</w:t>
            </w:r>
          </w:p>
        </w:tc>
        <w:tc>
          <w:tcPr>
            <w:tcW w:w="114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预算投资（万元）</w:t>
            </w:r>
          </w:p>
        </w:tc>
        <w:tc>
          <w:tcPr>
            <w:tcW w:w="106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实际投资（万元）</w:t>
            </w:r>
          </w:p>
        </w:tc>
        <w:tc>
          <w:tcPr>
            <w:tcW w:w="1430" w:type="dxa"/>
            <w:tcBorders>
              <w:top w:val="dotted" w:color="auto" w:sz="4" w:space="0"/>
              <w:left w:val="nil"/>
              <w:bottom w:val="dotted"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投资概算控制率</w:t>
            </w:r>
          </w:p>
        </w:tc>
      </w:tr>
      <w:tr>
        <w:tblPrEx>
          <w:tblLayout w:type="fixed"/>
        </w:tblPrEx>
        <w:trPr>
          <w:trHeight w:val="285" w:hRule="atLeast"/>
        </w:trPr>
        <w:tc>
          <w:tcPr>
            <w:tcW w:w="258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98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100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104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114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1060" w:type="dxa"/>
            <w:tcBorders>
              <w:top w:val="dotted" w:color="auto" w:sz="4" w:space="0"/>
              <w:left w:val="nil"/>
              <w:bottom w:val="dotted" w:color="auto" w:sz="4"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1430" w:type="dxa"/>
            <w:tcBorders>
              <w:top w:val="dotted" w:color="auto" w:sz="4" w:space="0"/>
              <w:left w:val="nil"/>
              <w:bottom w:val="dotted"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r>
        <w:tblPrEx>
          <w:tblLayout w:type="fixed"/>
        </w:tblPrEx>
        <w:trPr>
          <w:trHeight w:val="2119" w:hRule="atLeast"/>
        </w:trPr>
        <w:tc>
          <w:tcPr>
            <w:tcW w:w="2580" w:type="dxa"/>
            <w:tcBorders>
              <w:top w:val="dotted" w:color="auto" w:sz="4" w:space="0"/>
              <w:left w:val="nil"/>
              <w:bottom w:val="single" w:color="auto" w:sz="12" w:space="0"/>
              <w:right w:val="dotted"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厉行节约保障措施</w:t>
            </w:r>
          </w:p>
        </w:tc>
        <w:tc>
          <w:tcPr>
            <w:tcW w:w="6650" w:type="dxa"/>
            <w:gridSpan w:val="6"/>
            <w:tcBorders>
              <w:top w:val="dotted" w:color="auto" w:sz="4" w:space="0"/>
              <w:left w:val="nil"/>
              <w:bottom w:val="single" w:color="auto" w:sz="12"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会计法》、《预算法》、《行政单位财务规则》等法律和财政部及省财政厅有关财务规章的规定，先后制订了《湖南省妇联财务管理暂行规定》，规定明确了经费审批程序及权限，财务预算管理、支出及报销管理、资产管理、 财务报告和预算绩效评价、财务监督等。为进一步加强制度建设，优化内部管理，单独制定了《湖南省妇联国有资产管理办法》、《湖南省妇联差旅费报销办法》《湖南省妇联办公用品采购暂行规定》明确了相应原则和要求、范围、程序、办法及标准、审批权限等。</w:t>
            </w:r>
          </w:p>
        </w:tc>
      </w:tr>
      <w:tr>
        <w:tblPrEx>
          <w:tblLayout w:type="fixed"/>
        </w:tblPrEx>
        <w:trPr>
          <w:trHeight w:val="642" w:hRule="atLeast"/>
        </w:trPr>
        <w:tc>
          <w:tcPr>
            <w:tcW w:w="9230" w:type="dxa"/>
            <w:gridSpan w:val="7"/>
            <w:tcBorders>
              <w:top w:val="single" w:color="auto" w:sz="12"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说明：“项目支出”需要填报除专项资金和基本支出意外的所有项目情况，包括业务工作项目、运行维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护项目等；“公用经费”填报基本支出中的一般商品和服务支出。</w:t>
            </w:r>
          </w:p>
        </w:tc>
      </w:tr>
    </w:tbl>
    <w:p>
      <w:pPr>
        <w:widowControl/>
        <w:snapToGrid w:val="0"/>
        <w:spacing w:before="100" w:beforeAutospacing="1" w:after="100" w:afterAutospacing="1"/>
        <w:ind w:firstLine="560" w:firstLineChars="200"/>
        <w:rPr>
          <w:rFonts w:hint="eastAsia"/>
          <w:sz w:val="28"/>
          <w:szCs w:val="28"/>
        </w:rPr>
      </w:pPr>
    </w:p>
    <w:p>
      <w:pPr>
        <w:widowControl/>
        <w:snapToGrid w:val="0"/>
        <w:spacing w:before="100" w:beforeAutospacing="1" w:after="100" w:afterAutospacing="1"/>
        <w:ind w:firstLine="560" w:firstLineChars="200"/>
        <w:rPr>
          <w:sz w:val="28"/>
          <w:szCs w:val="28"/>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27"/>
        <w:tblW w:w="14174" w:type="dxa"/>
        <w:tblInd w:w="0" w:type="dxa"/>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099"/>
        <w:gridCol w:w="709"/>
        <w:gridCol w:w="567"/>
        <w:gridCol w:w="1562"/>
        <w:gridCol w:w="706"/>
        <w:gridCol w:w="3688"/>
        <w:gridCol w:w="2974"/>
        <w:gridCol w:w="709"/>
        <w:gridCol w:w="2160"/>
      </w:tblGrid>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90" w:hRule="atLeast"/>
          <w:tblHeader/>
        </w:trPr>
        <w:tc>
          <w:tcPr>
            <w:tcW w:w="14174" w:type="dxa"/>
            <w:gridSpan w:val="9"/>
            <w:tcBorders>
              <w:bottom w:val="single" w:color="auto" w:sz="4" w:space="0"/>
              <w:tl2br w:val="nil"/>
              <w:tr2bl w:val="nil"/>
            </w:tcBorders>
            <w:shd w:val="clear" w:color="auto" w:fill="auto"/>
            <w:vAlign w:val="center"/>
          </w:tcPr>
          <w:p>
            <w:pPr>
              <w:widowControl/>
              <w:jc w:val="left"/>
              <w:rPr>
                <w:rFonts w:hint="eastAsia" w:ascii="宋体" w:hAnsi="宋体" w:eastAsia="宋体" w:cs="宋体"/>
                <w:b/>
                <w:bCs/>
                <w:kern w:val="0"/>
                <w:sz w:val="28"/>
                <w:szCs w:val="28"/>
              </w:rPr>
            </w:pPr>
            <w:r>
              <w:rPr>
                <w:rFonts w:hint="eastAsia"/>
              </w:rPr>
              <w:t>附表二</w:t>
            </w:r>
          </w:p>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部门整体支出绩效评价指标</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261" w:hRule="atLeast"/>
          <w:tblHeader/>
        </w:trPr>
        <w:tc>
          <w:tcPr>
            <w:tcW w:w="109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70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567"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分值</w:t>
            </w:r>
          </w:p>
        </w:tc>
        <w:tc>
          <w:tcPr>
            <w:tcW w:w="1562"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706"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分值</w:t>
            </w:r>
          </w:p>
        </w:tc>
        <w:tc>
          <w:tcPr>
            <w:tcW w:w="3688"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评价标准</w:t>
            </w:r>
          </w:p>
        </w:tc>
        <w:tc>
          <w:tcPr>
            <w:tcW w:w="2974"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指标说明</w:t>
            </w:r>
          </w:p>
        </w:tc>
        <w:tc>
          <w:tcPr>
            <w:tcW w:w="70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c>
          <w:tcPr>
            <w:tcW w:w="2160"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789" w:hRule="atLeast"/>
          <w:tblHeader/>
        </w:trPr>
        <w:tc>
          <w:tcPr>
            <w:tcW w:w="109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投入</w:t>
            </w:r>
          </w:p>
        </w:tc>
        <w:tc>
          <w:tcPr>
            <w:tcW w:w="70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预算配置</w:t>
            </w:r>
          </w:p>
        </w:tc>
        <w:tc>
          <w:tcPr>
            <w:tcW w:w="567"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在职人员控制率</w:t>
            </w:r>
          </w:p>
        </w:tc>
        <w:tc>
          <w:tcPr>
            <w:tcW w:w="706" w:type="dxa"/>
            <w:tcBorders>
              <w:tl2br w:val="nil"/>
              <w:tr2bl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以100%为标准。在职人员控制率≦100%，计5分；每超过一个百分点扣0.5分，扣完为止。</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在职人员控制率=（在职人员数/编制数）×100%,在职人员数：部门（单位）实际在职人数，以财政厅确定的部门决算编制口径为准。编制数：机构编制部门核定批复的部门（单位）的人员编制数</w:t>
            </w:r>
          </w:p>
        </w:tc>
        <w:tc>
          <w:tcPr>
            <w:tcW w:w="709" w:type="dxa"/>
            <w:tcBorders>
              <w:tl2br w:val="nil"/>
              <w:tr2bl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年末在职人员数72人，编制数87人，在职人员控制率=72/87*100%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=82.76%</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109"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“三公经费”变动率</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“三公经费”变动率≦0；计8分；“三公经费”变动率&gt;0，每超过一个百分点扣0.8分，扣完为止。</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“三公经费”变动率=[(本年度“三公经费”预算数-上年度“三公经费”预算数）/上年度“三公经费”预算数]×100%</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“三公经费”变动率=(63.7-100.15)/100.15=-36.40%,未超一个百分点</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357" w:hRule="atLeast"/>
          <w:tblHeader/>
        </w:trPr>
        <w:tc>
          <w:tcPr>
            <w:tcW w:w="109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过程</w:t>
            </w:r>
          </w:p>
        </w:tc>
        <w:tc>
          <w:tcPr>
            <w:tcW w:w="70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预算执行</w:t>
            </w:r>
          </w:p>
        </w:tc>
        <w:tc>
          <w:tcPr>
            <w:tcW w:w="567"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预算完成率</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100%计满分，每低于5%扣2分，扣完为止。</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预算完成率=（上年结转+年初预算+本年追加预算-年末结余/上年结转+年初预算+本年追加预算）×100%。</w:t>
            </w:r>
          </w:p>
        </w:tc>
        <w:tc>
          <w:tcPr>
            <w:tcW w:w="709"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5</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925"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预算控制率</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预算控制率=0，计5分；0-10%（含），计4分；10-20%（含），计3分；20-30%（含），计2分；大于30%不得分</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预算控制率=（本年追加预算/年初预算）×100%。</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本年预算控制率=1507.28/1445.03=104.31%</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164" w:hRule="atLeast"/>
          <w:tblHeader/>
        </w:trPr>
        <w:tc>
          <w:tcPr>
            <w:tcW w:w="1099" w:type="dxa"/>
            <w:vMerge w:val="continue"/>
            <w:tcBorders>
              <w:bottom w:val="single" w:color="auto" w:sz="4" w:space="0"/>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bottom w:val="single" w:color="auto" w:sz="4" w:space="0"/>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bottom w:val="single" w:color="auto" w:sz="4" w:space="0"/>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新建楼堂馆所面积控制率</w:t>
            </w:r>
          </w:p>
        </w:tc>
        <w:tc>
          <w:tcPr>
            <w:tcW w:w="706"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100%以下（含）计满分，每超出5%扣2分，扣完为止。没有楼堂馆所项目的部门按满分计算</w:t>
            </w:r>
          </w:p>
        </w:tc>
        <w:tc>
          <w:tcPr>
            <w:tcW w:w="2974"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楼堂馆所面积控制率=实际建设面积/批准建设面积×100%。该指标以2016年完工的新建楼梯馆所为评价内容。</w:t>
            </w:r>
          </w:p>
        </w:tc>
        <w:tc>
          <w:tcPr>
            <w:tcW w:w="709"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160"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本年度没有楼堂馆所项目</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435" w:hRule="atLeast"/>
          <w:tblHeader/>
        </w:trPr>
        <w:tc>
          <w:tcPr>
            <w:tcW w:w="109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b/>
                <w:bCs/>
                <w:kern w:val="0"/>
                <w:sz w:val="20"/>
                <w:szCs w:val="20"/>
              </w:rPr>
              <w:t>一级指标</w:t>
            </w:r>
          </w:p>
        </w:tc>
        <w:tc>
          <w:tcPr>
            <w:tcW w:w="70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b/>
                <w:bCs/>
                <w:kern w:val="0"/>
                <w:sz w:val="20"/>
                <w:szCs w:val="20"/>
              </w:rPr>
              <w:t>二级指标</w:t>
            </w:r>
          </w:p>
        </w:tc>
        <w:tc>
          <w:tcPr>
            <w:tcW w:w="567"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b/>
                <w:bCs/>
                <w:kern w:val="0"/>
                <w:sz w:val="20"/>
                <w:szCs w:val="20"/>
              </w:rPr>
              <w:t>分值</w:t>
            </w:r>
          </w:p>
        </w:tc>
        <w:tc>
          <w:tcPr>
            <w:tcW w:w="1562" w:type="dxa"/>
            <w:tcBorders>
              <w:top w:val="single" w:color="auto" w:sz="4" w:space="0"/>
              <w:tl2br w:val="nil"/>
              <w:tr2bl w:val="nil"/>
            </w:tcBorders>
            <w:shd w:val="clear" w:color="auto" w:fill="auto"/>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706" w:type="dxa"/>
            <w:tcBorders>
              <w:top w:val="single" w:color="auto" w:sz="4" w:space="0"/>
              <w:tl2br w:val="nil"/>
              <w:tr2bl w:val="nil"/>
            </w:tcBorders>
            <w:shd w:val="clear" w:color="auto" w:fill="auto"/>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分值</w:t>
            </w:r>
          </w:p>
        </w:tc>
        <w:tc>
          <w:tcPr>
            <w:tcW w:w="3688" w:type="dxa"/>
            <w:tcBorders>
              <w:top w:val="single" w:color="auto" w:sz="4" w:space="0"/>
              <w:tl2br w:val="nil"/>
              <w:tr2bl w:val="nil"/>
            </w:tcBorders>
            <w:shd w:val="clear" w:color="auto" w:fill="auto"/>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评价标准</w:t>
            </w:r>
          </w:p>
        </w:tc>
        <w:tc>
          <w:tcPr>
            <w:tcW w:w="2974" w:type="dxa"/>
            <w:tcBorders>
              <w:top w:val="single" w:color="auto" w:sz="4" w:space="0"/>
              <w:tl2br w:val="nil"/>
              <w:tr2bl w:val="nil"/>
            </w:tcBorders>
            <w:shd w:val="clear" w:color="auto" w:fill="auto"/>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指标说明</w:t>
            </w:r>
          </w:p>
        </w:tc>
        <w:tc>
          <w:tcPr>
            <w:tcW w:w="709" w:type="dxa"/>
            <w:tcBorders>
              <w:top w:val="single" w:color="auto" w:sz="4" w:space="0"/>
              <w:tl2br w:val="nil"/>
              <w:tr2bl w:val="nil"/>
            </w:tcBorders>
            <w:shd w:val="clear" w:color="auto" w:fill="auto"/>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得分</w:t>
            </w:r>
          </w:p>
        </w:tc>
        <w:tc>
          <w:tcPr>
            <w:tcW w:w="2160" w:type="dxa"/>
            <w:tcBorders>
              <w:top w:val="single" w:color="auto" w:sz="4" w:space="0"/>
              <w:tl2br w:val="nil"/>
              <w:tr2bl w:val="nil"/>
            </w:tcBorders>
            <w:shd w:val="clear" w:color="auto" w:fill="auto"/>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052" w:hRule="atLeast"/>
          <w:tblHeader/>
        </w:trPr>
        <w:tc>
          <w:tcPr>
            <w:tcW w:w="1099" w:type="dxa"/>
            <w:vMerge w:val="restart"/>
            <w:tcBorders>
              <w:tl2br w:val="nil"/>
              <w:tr2bl w:val="nil"/>
            </w:tcBorders>
            <w:vAlign w:val="center"/>
          </w:tcPr>
          <w:p>
            <w:pPr>
              <w:widowControl/>
              <w:ind w:firstLine="200" w:firstLineChars="1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过程</w:t>
            </w:r>
          </w:p>
        </w:tc>
        <w:tc>
          <w:tcPr>
            <w:tcW w:w="709" w:type="dxa"/>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新建楼堂馆所投资概算控制率</w:t>
            </w:r>
          </w:p>
        </w:tc>
        <w:tc>
          <w:tcPr>
            <w:tcW w:w="706"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100%以下（含）计满分，每超出5%扣2分，扣完为止。</w:t>
            </w:r>
          </w:p>
        </w:tc>
        <w:tc>
          <w:tcPr>
            <w:tcW w:w="2974"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楼堂馆所投资预算控制率=实际投资金额/批准投资金额×100%。该指标以2016年完工的新建楼堂馆所为评价内容。</w:t>
            </w:r>
          </w:p>
        </w:tc>
        <w:tc>
          <w:tcPr>
            <w:tcW w:w="709"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160"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本年度没有楼堂馆所项目</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307"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预算管理</w:t>
            </w:r>
          </w:p>
        </w:tc>
        <w:tc>
          <w:tcPr>
            <w:tcW w:w="567"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公用经费控制率</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100%以下（含）计满分，每超出1%扣1分，扣完为止。</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公用经费控制率=（实际支出公用经费总额/预算安排公用经费总额）×100%。公用经费支出是指部门基本支出中的一般商品和服务支出。</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本年公用经费控制率=332.64/367.31=90.56%</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843"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“三公经费”控制率</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100%以下（含）计满分，每超出1%扣1分，扣完为止。</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“三公经费”控制率=(“三公经费”实际支出数/“三公经费”预算安排数）×100%</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本年“三公经费”控制率=35.56/63.7=55.82%</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756"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政府采购执行率</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100%计满分，每超过（降低）5%扣2分，扣完为止。</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政府采购执行率=（实际政府采购金额/政府采购预算数）×100%</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本年政府采购执行率100%</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322"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管理制度健全性</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①有内部财务管理制度、会计核算制度等管理制度，2分；②有本部门厉行节约制度，2分；③相关管理制度合法、合规、完整，2分；④相关管理制度得到有效执行，2分。</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2040" w:hRule="atLeast"/>
          <w:tblHeader/>
        </w:trPr>
        <w:tc>
          <w:tcPr>
            <w:tcW w:w="1099" w:type="dxa"/>
            <w:vMerge w:val="continue"/>
            <w:tcBorders>
              <w:bottom w:val="single" w:color="auto" w:sz="4" w:space="0"/>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bottom w:val="single" w:color="auto" w:sz="4" w:space="0"/>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bottom w:val="single" w:color="auto" w:sz="4" w:space="0"/>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资金使用合规性</w:t>
            </w:r>
          </w:p>
        </w:tc>
        <w:tc>
          <w:tcPr>
            <w:tcW w:w="706"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688"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2974"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bottom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160" w:type="dxa"/>
            <w:tcBorders>
              <w:bottom w:val="single" w:color="auto" w:sz="4" w:space="0"/>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pPr>
              <w:widowControl/>
              <w:spacing w:line="240" w:lineRule="exact"/>
              <w:jc w:val="center"/>
              <w:rPr>
                <w:rFonts w:hint="eastAsia" w:ascii="宋体" w:hAnsi="宋体" w:eastAsia="宋体" w:cs="宋体"/>
                <w:kern w:val="0"/>
                <w:sz w:val="20"/>
                <w:szCs w:val="20"/>
              </w:rPr>
            </w:pP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266" w:hRule="atLeast"/>
          <w:tblHeader/>
        </w:trPr>
        <w:tc>
          <w:tcPr>
            <w:tcW w:w="109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b/>
                <w:bCs/>
                <w:kern w:val="0"/>
                <w:sz w:val="20"/>
                <w:szCs w:val="20"/>
              </w:rPr>
              <w:t>一级指标</w:t>
            </w:r>
          </w:p>
        </w:tc>
        <w:tc>
          <w:tcPr>
            <w:tcW w:w="70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b/>
                <w:bCs/>
                <w:kern w:val="0"/>
                <w:sz w:val="20"/>
                <w:szCs w:val="20"/>
              </w:rPr>
              <w:t>二级指标</w:t>
            </w:r>
          </w:p>
        </w:tc>
        <w:tc>
          <w:tcPr>
            <w:tcW w:w="567"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b/>
                <w:bCs/>
                <w:kern w:val="0"/>
                <w:sz w:val="20"/>
                <w:szCs w:val="20"/>
              </w:rPr>
              <w:t>分值</w:t>
            </w:r>
          </w:p>
        </w:tc>
        <w:tc>
          <w:tcPr>
            <w:tcW w:w="1562"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b/>
                <w:bCs/>
                <w:kern w:val="0"/>
                <w:sz w:val="20"/>
                <w:szCs w:val="20"/>
              </w:rPr>
              <w:t>三级指标</w:t>
            </w:r>
          </w:p>
        </w:tc>
        <w:tc>
          <w:tcPr>
            <w:tcW w:w="706"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b/>
                <w:bCs/>
                <w:kern w:val="0"/>
                <w:sz w:val="20"/>
                <w:szCs w:val="20"/>
              </w:rPr>
              <w:t>分值</w:t>
            </w:r>
          </w:p>
        </w:tc>
        <w:tc>
          <w:tcPr>
            <w:tcW w:w="3688"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b/>
                <w:bCs/>
                <w:kern w:val="0"/>
                <w:sz w:val="20"/>
                <w:szCs w:val="20"/>
              </w:rPr>
              <w:t>评价标准</w:t>
            </w:r>
          </w:p>
        </w:tc>
        <w:tc>
          <w:tcPr>
            <w:tcW w:w="2974"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b/>
                <w:bCs/>
                <w:kern w:val="0"/>
                <w:sz w:val="20"/>
                <w:szCs w:val="20"/>
              </w:rPr>
              <w:t>指标说明</w:t>
            </w:r>
          </w:p>
        </w:tc>
        <w:tc>
          <w:tcPr>
            <w:tcW w:w="709"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b/>
                <w:bCs/>
                <w:kern w:val="0"/>
                <w:sz w:val="20"/>
                <w:szCs w:val="20"/>
              </w:rPr>
              <w:t>得分</w:t>
            </w:r>
          </w:p>
        </w:tc>
        <w:tc>
          <w:tcPr>
            <w:tcW w:w="2160" w:type="dxa"/>
            <w:tcBorders>
              <w:top w:val="single" w:color="auto" w:sz="4" w:space="0"/>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b/>
                <w:bCs/>
                <w:kern w:val="0"/>
                <w:sz w:val="20"/>
                <w:szCs w:val="20"/>
              </w:rPr>
              <w:t>备注</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106" w:hRule="atLeast"/>
          <w:tblHeader/>
        </w:trPr>
        <w:tc>
          <w:tcPr>
            <w:tcW w:w="1099" w:type="dxa"/>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预决算信息公开性</w:t>
            </w:r>
          </w:p>
        </w:tc>
        <w:tc>
          <w:tcPr>
            <w:tcW w:w="706"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3688"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①按规定内容、规定时限公开预决算信息，1分；②基础数据信息和会计信息资料真实，1分；③基础数据信息和会计信息资料完整，1分；④基础数据信息和汇集信息资料准确，1分。</w:t>
            </w:r>
          </w:p>
        </w:tc>
        <w:tc>
          <w:tcPr>
            <w:tcW w:w="2974"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160"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049" w:hRule="atLeast"/>
          <w:tblHeader/>
        </w:trPr>
        <w:tc>
          <w:tcPr>
            <w:tcW w:w="109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产出及效率</w:t>
            </w:r>
          </w:p>
        </w:tc>
        <w:tc>
          <w:tcPr>
            <w:tcW w:w="709"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职责履行</w:t>
            </w:r>
          </w:p>
        </w:tc>
        <w:tc>
          <w:tcPr>
            <w:tcW w:w="567"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重点工作实际完成率</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根据绩效办2016年对各部门为民办实事和部门重点工程与重点工作考核分数折算。该项得分=（绩效办对于部分考核得分/350）×8</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bookmarkStart w:id="12" w:name="_GoBack"/>
            <w:bookmarkEnd w:id="12"/>
          </w:p>
        </w:tc>
        <w:tc>
          <w:tcPr>
            <w:tcW w:w="709" w:type="dxa"/>
            <w:tcBorders>
              <w:tl2br w:val="nil"/>
              <w:tr2bl w:val="nil"/>
            </w:tcBorders>
            <w:shd w:val="clear" w:color="auto" w:fill="auto"/>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314"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履职效益</w:t>
            </w:r>
          </w:p>
        </w:tc>
        <w:tc>
          <w:tcPr>
            <w:tcW w:w="567"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经济效益</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①完成预算资金安排及预算调整方案的审查监督，1分；②按年度计划按部执行，3分，每未进行一项空0.5分，扣完为止；③搭建平台鼓励妇女创业就业，1分；④其他利民</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336"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社会效益</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①增加法制建设及宣传，1分；②切实改进、解决妇女儿童社会问题，1分；③督促各界加大投入力度，整合资源，1分；④组建公益活动，加大学习和培训力度，2分 </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200"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行政效能</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促进部门改进文风会风，加强经费及资产管理，推动网上办事，提高网上办事，提高行政效率，降低行政成本效果较好的计5分；一般3分；无效果或者效果不明显0分。</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1193" w:hRule="atLeast"/>
          <w:tblHeader/>
        </w:trPr>
        <w:tc>
          <w:tcPr>
            <w:tcW w:w="109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567"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2"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社会公众或服务对象满意度</w:t>
            </w:r>
          </w:p>
        </w:tc>
        <w:tc>
          <w:tcPr>
            <w:tcW w:w="706"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688"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90%（含）以上计5分；80%（含）-90%，计3分；70%（含）-80%，计2分；低于70%计0分。</w:t>
            </w:r>
          </w:p>
        </w:tc>
        <w:tc>
          <w:tcPr>
            <w:tcW w:w="2974"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社会公众或服务对象是指部门（单位）履行职责而影响到的部门、群体或个人，一般采取社会调查的方式。</w:t>
            </w:r>
          </w:p>
        </w:tc>
        <w:tc>
          <w:tcPr>
            <w:tcW w:w="709"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160" w:type="dxa"/>
            <w:tcBorders>
              <w:tl2br w:val="nil"/>
              <w:tr2bl w:val="nil"/>
            </w:tcBorders>
            <w:shd w:val="clear" w:color="auto" w:fill="auto"/>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在工作中群众反馈情况好，两癌筛查等项目的实施得到了女性群众的高度赞扬</w:t>
            </w:r>
          </w:p>
        </w:tc>
      </w:tr>
      <w:tr>
        <w:tblPrEx>
          <w:tblBorders>
            <w:top w:val="none" w:color="auto" w:sz="0" w:space="0"/>
            <w:left w:val="none" w:color="auto" w:sz="0" w:space="0"/>
            <w:bottom w:val="single" w:color="auto" w:sz="12" w:space="0"/>
            <w:right w:val="none" w:color="auto" w:sz="0" w:space="0"/>
            <w:insideH w:val="dotted" w:color="auto" w:sz="4" w:space="0"/>
            <w:insideV w:val="dotted" w:color="auto" w:sz="4" w:space="0"/>
          </w:tblBorders>
          <w:tblLayout w:type="fixed"/>
        </w:tblPrEx>
        <w:trPr>
          <w:trHeight w:val="285" w:hRule="atLeast"/>
          <w:tblHeader/>
        </w:trPr>
        <w:tc>
          <w:tcPr>
            <w:tcW w:w="3937" w:type="dxa"/>
            <w:gridSpan w:val="4"/>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706" w:type="dxa"/>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3688" w:type="dxa"/>
            <w:tcBorders>
              <w:tl2br w:val="nil"/>
              <w:tr2bl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974" w:type="dxa"/>
            <w:tcBorders>
              <w:tl2br w:val="nil"/>
              <w:tr2bl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09"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95</w:t>
            </w:r>
          </w:p>
        </w:tc>
        <w:tc>
          <w:tcPr>
            <w:tcW w:w="2160" w:type="dxa"/>
            <w:tcBorders>
              <w:tl2br w:val="nil"/>
              <w:tr2bl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jc w:val="left"/>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baikeFont_css">
    <w:altName w:val="Courier New"/>
    <w:panose1 w:val="00000000000000000000"/>
    <w:charset w:val="00"/>
    <w:family w:val="auto"/>
    <w:pitch w:val="default"/>
    <w:sig w:usb0="00000000" w:usb1="00000000" w:usb2="00000000" w:usb3="00000000" w:csb0="00000000" w:csb1="00000000"/>
  </w:font>
  <w:font w:name="baikeFont_layout">
    <w:altName w:val="Courier New"/>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Calibri Light">
    <w:altName w:val="PMingLiU"/>
    <w:panose1 w:val="020F0302020204030204"/>
    <w:charset w:val="00"/>
    <w:family w:val="swiss"/>
    <w:pitch w:val="default"/>
    <w:sig w:usb0="00000000" w:usb1="00000000" w:usb2="00000000"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黑体">
    <w:panose1 w:val="02010600030101010101"/>
    <w:charset w:val="86"/>
    <w:family w:val="auto"/>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新宋体">
    <w:panose1 w:val="02010609030101010101"/>
    <w:charset w:val="86"/>
    <w:family w:val="modern"/>
    <w:pitch w:val="default"/>
    <w:sig w:usb0="00000003" w:usb1="080E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00000287"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MingLiU_HKSCS">
    <w:altName w:val="PMingLiU"/>
    <w:panose1 w:val="02020500000000000000"/>
    <w:charset w:val="88"/>
    <w:family w:val="roman"/>
    <w:pitch w:val="default"/>
    <w:sig w:usb0="00000000" w:usb1="00000000" w:usb2="00000016" w:usb3="00000000" w:csb0="00100001"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7A5E"/>
    <w:multiLevelType w:val="singleLevel"/>
    <w:tmpl w:val="59487A5E"/>
    <w:lvl w:ilvl="0" w:tentative="0">
      <w:start w:val="1"/>
      <w:numFmt w:val="decimal"/>
      <w:suff w:val="nothing"/>
      <w:lvlText w:val="%1、"/>
      <w:lvlJc w:val="left"/>
    </w:lvl>
  </w:abstractNum>
  <w:abstractNum w:abstractNumId="1">
    <w:nsid w:val="594C8433"/>
    <w:multiLevelType w:val="singleLevel"/>
    <w:tmpl w:val="594C843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C1"/>
    <w:rsid w:val="00003EFA"/>
    <w:rsid w:val="00004A51"/>
    <w:rsid w:val="00005874"/>
    <w:rsid w:val="00012F72"/>
    <w:rsid w:val="00016683"/>
    <w:rsid w:val="00023957"/>
    <w:rsid w:val="0002510A"/>
    <w:rsid w:val="000277F1"/>
    <w:rsid w:val="00033EFA"/>
    <w:rsid w:val="0003653D"/>
    <w:rsid w:val="00036B36"/>
    <w:rsid w:val="0004167A"/>
    <w:rsid w:val="00042A2D"/>
    <w:rsid w:val="00044008"/>
    <w:rsid w:val="00045EB9"/>
    <w:rsid w:val="00047E11"/>
    <w:rsid w:val="000503F1"/>
    <w:rsid w:val="00050E8F"/>
    <w:rsid w:val="00053F58"/>
    <w:rsid w:val="000566FB"/>
    <w:rsid w:val="0005700D"/>
    <w:rsid w:val="0006015A"/>
    <w:rsid w:val="00061946"/>
    <w:rsid w:val="0006267E"/>
    <w:rsid w:val="000664BE"/>
    <w:rsid w:val="00067FEB"/>
    <w:rsid w:val="0007312D"/>
    <w:rsid w:val="00073C5D"/>
    <w:rsid w:val="000749F3"/>
    <w:rsid w:val="00076004"/>
    <w:rsid w:val="00076602"/>
    <w:rsid w:val="00076A7E"/>
    <w:rsid w:val="00080285"/>
    <w:rsid w:val="00081074"/>
    <w:rsid w:val="00093335"/>
    <w:rsid w:val="00093B21"/>
    <w:rsid w:val="00094CBF"/>
    <w:rsid w:val="00095C07"/>
    <w:rsid w:val="000964DA"/>
    <w:rsid w:val="000A0749"/>
    <w:rsid w:val="000A21FB"/>
    <w:rsid w:val="000A4921"/>
    <w:rsid w:val="000B4981"/>
    <w:rsid w:val="000B4FA1"/>
    <w:rsid w:val="000B5F95"/>
    <w:rsid w:val="000B72C8"/>
    <w:rsid w:val="000B7E0B"/>
    <w:rsid w:val="000C577F"/>
    <w:rsid w:val="000C6A6C"/>
    <w:rsid w:val="000C6B25"/>
    <w:rsid w:val="000D056F"/>
    <w:rsid w:val="000D1247"/>
    <w:rsid w:val="000D307C"/>
    <w:rsid w:val="000D3132"/>
    <w:rsid w:val="000D3552"/>
    <w:rsid w:val="000D4414"/>
    <w:rsid w:val="000D6762"/>
    <w:rsid w:val="000E145E"/>
    <w:rsid w:val="000E1EA5"/>
    <w:rsid w:val="000E2DD2"/>
    <w:rsid w:val="000E4880"/>
    <w:rsid w:val="000E4B8D"/>
    <w:rsid w:val="000E622B"/>
    <w:rsid w:val="000E63FC"/>
    <w:rsid w:val="000F102E"/>
    <w:rsid w:val="000F1B4D"/>
    <w:rsid w:val="000F1CBE"/>
    <w:rsid w:val="000F25CF"/>
    <w:rsid w:val="000F3BDD"/>
    <w:rsid w:val="000F4F4C"/>
    <w:rsid w:val="0010308F"/>
    <w:rsid w:val="00103E41"/>
    <w:rsid w:val="0010568A"/>
    <w:rsid w:val="00106A5B"/>
    <w:rsid w:val="00110972"/>
    <w:rsid w:val="00110B36"/>
    <w:rsid w:val="001112A0"/>
    <w:rsid w:val="00112A9D"/>
    <w:rsid w:val="00122C07"/>
    <w:rsid w:val="00126B74"/>
    <w:rsid w:val="00127A6B"/>
    <w:rsid w:val="001306F0"/>
    <w:rsid w:val="00133180"/>
    <w:rsid w:val="00133D3E"/>
    <w:rsid w:val="001433BF"/>
    <w:rsid w:val="00146696"/>
    <w:rsid w:val="0014672B"/>
    <w:rsid w:val="001517C2"/>
    <w:rsid w:val="00157073"/>
    <w:rsid w:val="001606CB"/>
    <w:rsid w:val="00160D85"/>
    <w:rsid w:val="00161CAD"/>
    <w:rsid w:val="0016281B"/>
    <w:rsid w:val="00163441"/>
    <w:rsid w:val="00165560"/>
    <w:rsid w:val="00167792"/>
    <w:rsid w:val="00174368"/>
    <w:rsid w:val="00174528"/>
    <w:rsid w:val="0017586F"/>
    <w:rsid w:val="0017649A"/>
    <w:rsid w:val="001771C8"/>
    <w:rsid w:val="00177E5E"/>
    <w:rsid w:val="00181FEB"/>
    <w:rsid w:val="00182860"/>
    <w:rsid w:val="00182B04"/>
    <w:rsid w:val="00182B99"/>
    <w:rsid w:val="00182FAC"/>
    <w:rsid w:val="00183D30"/>
    <w:rsid w:val="00184CAD"/>
    <w:rsid w:val="00185C4E"/>
    <w:rsid w:val="00186C2D"/>
    <w:rsid w:val="00192749"/>
    <w:rsid w:val="0019354D"/>
    <w:rsid w:val="00194225"/>
    <w:rsid w:val="001943AC"/>
    <w:rsid w:val="001947F5"/>
    <w:rsid w:val="001A26A9"/>
    <w:rsid w:val="001B412C"/>
    <w:rsid w:val="001B4400"/>
    <w:rsid w:val="001B5047"/>
    <w:rsid w:val="001B7017"/>
    <w:rsid w:val="001B7977"/>
    <w:rsid w:val="001B7FDF"/>
    <w:rsid w:val="001C004B"/>
    <w:rsid w:val="001C3431"/>
    <w:rsid w:val="001C366B"/>
    <w:rsid w:val="001C4958"/>
    <w:rsid w:val="001C64B4"/>
    <w:rsid w:val="001C6FB8"/>
    <w:rsid w:val="001C7468"/>
    <w:rsid w:val="001C7656"/>
    <w:rsid w:val="001D0BC9"/>
    <w:rsid w:val="001D21E6"/>
    <w:rsid w:val="001D28CB"/>
    <w:rsid w:val="001D57AE"/>
    <w:rsid w:val="001E1715"/>
    <w:rsid w:val="001E2325"/>
    <w:rsid w:val="001E29AC"/>
    <w:rsid w:val="001F0A54"/>
    <w:rsid w:val="001F27B1"/>
    <w:rsid w:val="001F63BE"/>
    <w:rsid w:val="00204217"/>
    <w:rsid w:val="00204E59"/>
    <w:rsid w:val="002053D7"/>
    <w:rsid w:val="002054F0"/>
    <w:rsid w:val="00205820"/>
    <w:rsid w:val="0020586E"/>
    <w:rsid w:val="00207F1A"/>
    <w:rsid w:val="00213964"/>
    <w:rsid w:val="002178FC"/>
    <w:rsid w:val="00221BF8"/>
    <w:rsid w:val="002228A5"/>
    <w:rsid w:val="002230EC"/>
    <w:rsid w:val="002230F2"/>
    <w:rsid w:val="00224474"/>
    <w:rsid w:val="00227AEB"/>
    <w:rsid w:val="00230B54"/>
    <w:rsid w:val="00230BD3"/>
    <w:rsid w:val="00230E35"/>
    <w:rsid w:val="00233BF0"/>
    <w:rsid w:val="002340D5"/>
    <w:rsid w:val="002355A9"/>
    <w:rsid w:val="00236D0F"/>
    <w:rsid w:val="00240530"/>
    <w:rsid w:val="00240BDF"/>
    <w:rsid w:val="00241AA8"/>
    <w:rsid w:val="002513B9"/>
    <w:rsid w:val="00251765"/>
    <w:rsid w:val="00255941"/>
    <w:rsid w:val="00257112"/>
    <w:rsid w:val="002575C5"/>
    <w:rsid w:val="0026019E"/>
    <w:rsid w:val="00260230"/>
    <w:rsid w:val="002613CA"/>
    <w:rsid w:val="00261C2C"/>
    <w:rsid w:val="00264B9F"/>
    <w:rsid w:val="00265525"/>
    <w:rsid w:val="002659C9"/>
    <w:rsid w:val="00265ED5"/>
    <w:rsid w:val="00281B02"/>
    <w:rsid w:val="002859ED"/>
    <w:rsid w:val="00287BEF"/>
    <w:rsid w:val="00291FBB"/>
    <w:rsid w:val="002959E9"/>
    <w:rsid w:val="002A2605"/>
    <w:rsid w:val="002A296B"/>
    <w:rsid w:val="002A7D72"/>
    <w:rsid w:val="002B2A74"/>
    <w:rsid w:val="002B2D09"/>
    <w:rsid w:val="002B32C7"/>
    <w:rsid w:val="002B4C17"/>
    <w:rsid w:val="002B6517"/>
    <w:rsid w:val="002C0429"/>
    <w:rsid w:val="002C35D6"/>
    <w:rsid w:val="002C4AFE"/>
    <w:rsid w:val="002C5731"/>
    <w:rsid w:val="002C5E19"/>
    <w:rsid w:val="002C7EA7"/>
    <w:rsid w:val="002D297A"/>
    <w:rsid w:val="002D3832"/>
    <w:rsid w:val="002D67AA"/>
    <w:rsid w:val="002D7BF4"/>
    <w:rsid w:val="002E0508"/>
    <w:rsid w:val="002E1B71"/>
    <w:rsid w:val="002E5451"/>
    <w:rsid w:val="002E56ED"/>
    <w:rsid w:val="002E66BE"/>
    <w:rsid w:val="002E7CF8"/>
    <w:rsid w:val="002F0000"/>
    <w:rsid w:val="002F10F9"/>
    <w:rsid w:val="002F1786"/>
    <w:rsid w:val="002F1854"/>
    <w:rsid w:val="002F2C8C"/>
    <w:rsid w:val="002F3E07"/>
    <w:rsid w:val="002F5FA4"/>
    <w:rsid w:val="00301DD1"/>
    <w:rsid w:val="0030247C"/>
    <w:rsid w:val="0030368D"/>
    <w:rsid w:val="003042AE"/>
    <w:rsid w:val="00307077"/>
    <w:rsid w:val="00307F95"/>
    <w:rsid w:val="00311AE2"/>
    <w:rsid w:val="003156CA"/>
    <w:rsid w:val="00315949"/>
    <w:rsid w:val="003175E3"/>
    <w:rsid w:val="00317E70"/>
    <w:rsid w:val="00320054"/>
    <w:rsid w:val="00322CF2"/>
    <w:rsid w:val="00324D06"/>
    <w:rsid w:val="00326927"/>
    <w:rsid w:val="00327697"/>
    <w:rsid w:val="003277D8"/>
    <w:rsid w:val="00330CF7"/>
    <w:rsid w:val="00331437"/>
    <w:rsid w:val="003337B1"/>
    <w:rsid w:val="003367C2"/>
    <w:rsid w:val="00341D60"/>
    <w:rsid w:val="00345CD1"/>
    <w:rsid w:val="00345F3A"/>
    <w:rsid w:val="00347836"/>
    <w:rsid w:val="00350BED"/>
    <w:rsid w:val="00351D44"/>
    <w:rsid w:val="003544A7"/>
    <w:rsid w:val="00355BD9"/>
    <w:rsid w:val="00356468"/>
    <w:rsid w:val="0036015F"/>
    <w:rsid w:val="00363682"/>
    <w:rsid w:val="0036387F"/>
    <w:rsid w:val="0036395B"/>
    <w:rsid w:val="00363B74"/>
    <w:rsid w:val="00365182"/>
    <w:rsid w:val="00365D86"/>
    <w:rsid w:val="00367998"/>
    <w:rsid w:val="00373EA0"/>
    <w:rsid w:val="00373F9E"/>
    <w:rsid w:val="00374C8D"/>
    <w:rsid w:val="00375A3D"/>
    <w:rsid w:val="00377C94"/>
    <w:rsid w:val="0038332F"/>
    <w:rsid w:val="00385E20"/>
    <w:rsid w:val="00385EB2"/>
    <w:rsid w:val="003900B3"/>
    <w:rsid w:val="00391652"/>
    <w:rsid w:val="00391968"/>
    <w:rsid w:val="00391CFB"/>
    <w:rsid w:val="00392A0C"/>
    <w:rsid w:val="00394ECE"/>
    <w:rsid w:val="003961D2"/>
    <w:rsid w:val="003A00D3"/>
    <w:rsid w:val="003A2933"/>
    <w:rsid w:val="003B2CB7"/>
    <w:rsid w:val="003B2EC3"/>
    <w:rsid w:val="003B58D3"/>
    <w:rsid w:val="003B5E64"/>
    <w:rsid w:val="003C1AF9"/>
    <w:rsid w:val="003C1D7C"/>
    <w:rsid w:val="003C44C5"/>
    <w:rsid w:val="003C5E91"/>
    <w:rsid w:val="003C7E2D"/>
    <w:rsid w:val="003D210F"/>
    <w:rsid w:val="003D242A"/>
    <w:rsid w:val="003D2CD4"/>
    <w:rsid w:val="003D35EE"/>
    <w:rsid w:val="003D7C45"/>
    <w:rsid w:val="003E019E"/>
    <w:rsid w:val="003E4FEE"/>
    <w:rsid w:val="003E7412"/>
    <w:rsid w:val="003E7CD7"/>
    <w:rsid w:val="003F79B0"/>
    <w:rsid w:val="004019FF"/>
    <w:rsid w:val="00401B2B"/>
    <w:rsid w:val="0040458B"/>
    <w:rsid w:val="00406BBC"/>
    <w:rsid w:val="0040762E"/>
    <w:rsid w:val="0041174B"/>
    <w:rsid w:val="004117F5"/>
    <w:rsid w:val="004125C7"/>
    <w:rsid w:val="00414E27"/>
    <w:rsid w:val="00416643"/>
    <w:rsid w:val="004168FF"/>
    <w:rsid w:val="00421AB8"/>
    <w:rsid w:val="004236CC"/>
    <w:rsid w:val="00432851"/>
    <w:rsid w:val="00432A2B"/>
    <w:rsid w:val="004354E5"/>
    <w:rsid w:val="00441C8B"/>
    <w:rsid w:val="00442BCB"/>
    <w:rsid w:val="00444A70"/>
    <w:rsid w:val="0045026E"/>
    <w:rsid w:val="00452331"/>
    <w:rsid w:val="00454694"/>
    <w:rsid w:val="004616DB"/>
    <w:rsid w:val="00462FD8"/>
    <w:rsid w:val="004663FD"/>
    <w:rsid w:val="0046713A"/>
    <w:rsid w:val="004673C6"/>
    <w:rsid w:val="004717EC"/>
    <w:rsid w:val="00473835"/>
    <w:rsid w:val="00484E60"/>
    <w:rsid w:val="00491687"/>
    <w:rsid w:val="00491812"/>
    <w:rsid w:val="0049388D"/>
    <w:rsid w:val="0049474E"/>
    <w:rsid w:val="00494B39"/>
    <w:rsid w:val="00495513"/>
    <w:rsid w:val="00497E61"/>
    <w:rsid w:val="004A53AA"/>
    <w:rsid w:val="004A589D"/>
    <w:rsid w:val="004A5915"/>
    <w:rsid w:val="004A6DE1"/>
    <w:rsid w:val="004B4877"/>
    <w:rsid w:val="004C1FE5"/>
    <w:rsid w:val="004C307A"/>
    <w:rsid w:val="004C3144"/>
    <w:rsid w:val="004C36B2"/>
    <w:rsid w:val="004C47B0"/>
    <w:rsid w:val="004C737A"/>
    <w:rsid w:val="004C79AB"/>
    <w:rsid w:val="004D2C13"/>
    <w:rsid w:val="004D395F"/>
    <w:rsid w:val="004D3A26"/>
    <w:rsid w:val="004D77D4"/>
    <w:rsid w:val="004E0066"/>
    <w:rsid w:val="004E071E"/>
    <w:rsid w:val="004E089D"/>
    <w:rsid w:val="004E13D4"/>
    <w:rsid w:val="004E228E"/>
    <w:rsid w:val="004E5369"/>
    <w:rsid w:val="004F132B"/>
    <w:rsid w:val="004F6115"/>
    <w:rsid w:val="005001CC"/>
    <w:rsid w:val="00502376"/>
    <w:rsid w:val="00503007"/>
    <w:rsid w:val="00504F3D"/>
    <w:rsid w:val="005076DE"/>
    <w:rsid w:val="00507AB4"/>
    <w:rsid w:val="005108CD"/>
    <w:rsid w:val="00511224"/>
    <w:rsid w:val="00513274"/>
    <w:rsid w:val="00515A63"/>
    <w:rsid w:val="005214FD"/>
    <w:rsid w:val="00532CE2"/>
    <w:rsid w:val="0053404B"/>
    <w:rsid w:val="00545DAE"/>
    <w:rsid w:val="00550B62"/>
    <w:rsid w:val="00551B77"/>
    <w:rsid w:val="005543B6"/>
    <w:rsid w:val="0056052A"/>
    <w:rsid w:val="00560A18"/>
    <w:rsid w:val="0056176F"/>
    <w:rsid w:val="00563F3E"/>
    <w:rsid w:val="0057242B"/>
    <w:rsid w:val="0057312D"/>
    <w:rsid w:val="00574547"/>
    <w:rsid w:val="00574F3D"/>
    <w:rsid w:val="00575E5C"/>
    <w:rsid w:val="005760B8"/>
    <w:rsid w:val="005777C3"/>
    <w:rsid w:val="00580DC1"/>
    <w:rsid w:val="00581E1B"/>
    <w:rsid w:val="00582CD9"/>
    <w:rsid w:val="005876D8"/>
    <w:rsid w:val="00594972"/>
    <w:rsid w:val="005A0869"/>
    <w:rsid w:val="005A1C40"/>
    <w:rsid w:val="005A3551"/>
    <w:rsid w:val="005A3E7B"/>
    <w:rsid w:val="005A5712"/>
    <w:rsid w:val="005B16A7"/>
    <w:rsid w:val="005B3670"/>
    <w:rsid w:val="005B3F44"/>
    <w:rsid w:val="005B6D43"/>
    <w:rsid w:val="005B73F8"/>
    <w:rsid w:val="005B7A49"/>
    <w:rsid w:val="005C30B6"/>
    <w:rsid w:val="005C5C62"/>
    <w:rsid w:val="005C5CBD"/>
    <w:rsid w:val="005C756A"/>
    <w:rsid w:val="005C7983"/>
    <w:rsid w:val="005D2886"/>
    <w:rsid w:val="005D4D2D"/>
    <w:rsid w:val="005E6289"/>
    <w:rsid w:val="005F265A"/>
    <w:rsid w:val="005F375E"/>
    <w:rsid w:val="005F4E12"/>
    <w:rsid w:val="005F6262"/>
    <w:rsid w:val="005F7968"/>
    <w:rsid w:val="006004B6"/>
    <w:rsid w:val="006020E4"/>
    <w:rsid w:val="00605144"/>
    <w:rsid w:val="00605962"/>
    <w:rsid w:val="00606EF5"/>
    <w:rsid w:val="006071E1"/>
    <w:rsid w:val="006110FE"/>
    <w:rsid w:val="0061369A"/>
    <w:rsid w:val="00621B46"/>
    <w:rsid w:val="0062230A"/>
    <w:rsid w:val="006225FA"/>
    <w:rsid w:val="00623857"/>
    <w:rsid w:val="0063322B"/>
    <w:rsid w:val="00633C9D"/>
    <w:rsid w:val="00635F94"/>
    <w:rsid w:val="006415F7"/>
    <w:rsid w:val="00642004"/>
    <w:rsid w:val="00642BD3"/>
    <w:rsid w:val="00644D4D"/>
    <w:rsid w:val="006464A6"/>
    <w:rsid w:val="0064678D"/>
    <w:rsid w:val="00647B56"/>
    <w:rsid w:val="00650889"/>
    <w:rsid w:val="006515FD"/>
    <w:rsid w:val="00651665"/>
    <w:rsid w:val="00652F59"/>
    <w:rsid w:val="006536C2"/>
    <w:rsid w:val="00660F87"/>
    <w:rsid w:val="006617D3"/>
    <w:rsid w:val="00665298"/>
    <w:rsid w:val="006658E4"/>
    <w:rsid w:val="00670510"/>
    <w:rsid w:val="006734CA"/>
    <w:rsid w:val="006771F4"/>
    <w:rsid w:val="00680040"/>
    <w:rsid w:val="00680BB4"/>
    <w:rsid w:val="006811C9"/>
    <w:rsid w:val="0068145C"/>
    <w:rsid w:val="00685C66"/>
    <w:rsid w:val="006862C3"/>
    <w:rsid w:val="006905F8"/>
    <w:rsid w:val="00693F49"/>
    <w:rsid w:val="006974E1"/>
    <w:rsid w:val="006A0261"/>
    <w:rsid w:val="006A47FD"/>
    <w:rsid w:val="006A5137"/>
    <w:rsid w:val="006A572F"/>
    <w:rsid w:val="006A6043"/>
    <w:rsid w:val="006B2821"/>
    <w:rsid w:val="006B2F52"/>
    <w:rsid w:val="006B392E"/>
    <w:rsid w:val="006B5FD3"/>
    <w:rsid w:val="006B61D2"/>
    <w:rsid w:val="006B6736"/>
    <w:rsid w:val="006B6F28"/>
    <w:rsid w:val="006B7388"/>
    <w:rsid w:val="006C32D7"/>
    <w:rsid w:val="006C37A6"/>
    <w:rsid w:val="006C45B4"/>
    <w:rsid w:val="006C5D13"/>
    <w:rsid w:val="006C5D2D"/>
    <w:rsid w:val="006C6FD0"/>
    <w:rsid w:val="006D028B"/>
    <w:rsid w:val="006D12CE"/>
    <w:rsid w:val="006D2B9E"/>
    <w:rsid w:val="006D3DBD"/>
    <w:rsid w:val="006D769E"/>
    <w:rsid w:val="006E292F"/>
    <w:rsid w:val="006E2A7A"/>
    <w:rsid w:val="006E4B2C"/>
    <w:rsid w:val="006E6113"/>
    <w:rsid w:val="006E6982"/>
    <w:rsid w:val="006E7907"/>
    <w:rsid w:val="006F107E"/>
    <w:rsid w:val="006F2E94"/>
    <w:rsid w:val="006F712A"/>
    <w:rsid w:val="006F7468"/>
    <w:rsid w:val="00700B77"/>
    <w:rsid w:val="00700C87"/>
    <w:rsid w:val="00700D8B"/>
    <w:rsid w:val="00701E9D"/>
    <w:rsid w:val="00702578"/>
    <w:rsid w:val="007025DC"/>
    <w:rsid w:val="00706475"/>
    <w:rsid w:val="00711A51"/>
    <w:rsid w:val="007152CA"/>
    <w:rsid w:val="00716082"/>
    <w:rsid w:val="0072123E"/>
    <w:rsid w:val="007215C6"/>
    <w:rsid w:val="00721925"/>
    <w:rsid w:val="007238F7"/>
    <w:rsid w:val="00724238"/>
    <w:rsid w:val="0072454D"/>
    <w:rsid w:val="00725C23"/>
    <w:rsid w:val="00725F49"/>
    <w:rsid w:val="0072676B"/>
    <w:rsid w:val="00732A00"/>
    <w:rsid w:val="00734F74"/>
    <w:rsid w:val="00736BE8"/>
    <w:rsid w:val="00737277"/>
    <w:rsid w:val="00737C18"/>
    <w:rsid w:val="00737F6C"/>
    <w:rsid w:val="007407F1"/>
    <w:rsid w:val="007415E2"/>
    <w:rsid w:val="00743779"/>
    <w:rsid w:val="00745765"/>
    <w:rsid w:val="00750186"/>
    <w:rsid w:val="0076061F"/>
    <w:rsid w:val="00762642"/>
    <w:rsid w:val="00767196"/>
    <w:rsid w:val="007700AC"/>
    <w:rsid w:val="00770171"/>
    <w:rsid w:val="00776EA8"/>
    <w:rsid w:val="00776F44"/>
    <w:rsid w:val="00783DEC"/>
    <w:rsid w:val="00785629"/>
    <w:rsid w:val="00786F22"/>
    <w:rsid w:val="0079199E"/>
    <w:rsid w:val="00792481"/>
    <w:rsid w:val="00795FDE"/>
    <w:rsid w:val="00796116"/>
    <w:rsid w:val="007A1B74"/>
    <w:rsid w:val="007A1D45"/>
    <w:rsid w:val="007A5CB3"/>
    <w:rsid w:val="007B1BDB"/>
    <w:rsid w:val="007B1C00"/>
    <w:rsid w:val="007B2BB2"/>
    <w:rsid w:val="007B5E2D"/>
    <w:rsid w:val="007C18D0"/>
    <w:rsid w:val="007C192F"/>
    <w:rsid w:val="007C25A7"/>
    <w:rsid w:val="007C3D22"/>
    <w:rsid w:val="007C3D3A"/>
    <w:rsid w:val="007C46E7"/>
    <w:rsid w:val="007D00D0"/>
    <w:rsid w:val="007D0235"/>
    <w:rsid w:val="007D6214"/>
    <w:rsid w:val="007D6B80"/>
    <w:rsid w:val="007D6F44"/>
    <w:rsid w:val="007D74BF"/>
    <w:rsid w:val="007E0332"/>
    <w:rsid w:val="007E1048"/>
    <w:rsid w:val="007E5BA2"/>
    <w:rsid w:val="007E5BF9"/>
    <w:rsid w:val="007F1BDA"/>
    <w:rsid w:val="007F1FAE"/>
    <w:rsid w:val="007F21A4"/>
    <w:rsid w:val="007F3876"/>
    <w:rsid w:val="007F4B6C"/>
    <w:rsid w:val="00800DA7"/>
    <w:rsid w:val="00800FC4"/>
    <w:rsid w:val="00803325"/>
    <w:rsid w:val="00803676"/>
    <w:rsid w:val="0080657B"/>
    <w:rsid w:val="0080666D"/>
    <w:rsid w:val="00811122"/>
    <w:rsid w:val="0081256B"/>
    <w:rsid w:val="00812EF0"/>
    <w:rsid w:val="00821B80"/>
    <w:rsid w:val="008236B4"/>
    <w:rsid w:val="0082433E"/>
    <w:rsid w:val="00830E3D"/>
    <w:rsid w:val="00834ABD"/>
    <w:rsid w:val="008355BF"/>
    <w:rsid w:val="00835827"/>
    <w:rsid w:val="0083745F"/>
    <w:rsid w:val="00843CEE"/>
    <w:rsid w:val="008443C5"/>
    <w:rsid w:val="00846693"/>
    <w:rsid w:val="0084774A"/>
    <w:rsid w:val="0085793E"/>
    <w:rsid w:val="00860B64"/>
    <w:rsid w:val="00862C82"/>
    <w:rsid w:val="00863FCF"/>
    <w:rsid w:val="0087082D"/>
    <w:rsid w:val="00871155"/>
    <w:rsid w:val="0087197E"/>
    <w:rsid w:val="00872279"/>
    <w:rsid w:val="00872E1B"/>
    <w:rsid w:val="00876CBC"/>
    <w:rsid w:val="00881093"/>
    <w:rsid w:val="00884F24"/>
    <w:rsid w:val="008853DD"/>
    <w:rsid w:val="008853FA"/>
    <w:rsid w:val="00885AA2"/>
    <w:rsid w:val="00886B7E"/>
    <w:rsid w:val="0089261E"/>
    <w:rsid w:val="008930D0"/>
    <w:rsid w:val="0089371B"/>
    <w:rsid w:val="00893F2C"/>
    <w:rsid w:val="008A5AE1"/>
    <w:rsid w:val="008A6489"/>
    <w:rsid w:val="008A6F6D"/>
    <w:rsid w:val="008A7F14"/>
    <w:rsid w:val="008B1C84"/>
    <w:rsid w:val="008B2E2D"/>
    <w:rsid w:val="008B2F4B"/>
    <w:rsid w:val="008B49EA"/>
    <w:rsid w:val="008B680B"/>
    <w:rsid w:val="008B7208"/>
    <w:rsid w:val="008C0440"/>
    <w:rsid w:val="008C2776"/>
    <w:rsid w:val="008C52EB"/>
    <w:rsid w:val="008C6A38"/>
    <w:rsid w:val="008C7606"/>
    <w:rsid w:val="008C7FD8"/>
    <w:rsid w:val="008D1BBC"/>
    <w:rsid w:val="008D3B4E"/>
    <w:rsid w:val="008D67FD"/>
    <w:rsid w:val="008E1782"/>
    <w:rsid w:val="008E19C9"/>
    <w:rsid w:val="008E1CE5"/>
    <w:rsid w:val="008E4FB7"/>
    <w:rsid w:val="008E7587"/>
    <w:rsid w:val="008F150A"/>
    <w:rsid w:val="008F2857"/>
    <w:rsid w:val="008F416D"/>
    <w:rsid w:val="008F5808"/>
    <w:rsid w:val="00903D6B"/>
    <w:rsid w:val="009040E8"/>
    <w:rsid w:val="00905055"/>
    <w:rsid w:val="00906651"/>
    <w:rsid w:val="00910A5E"/>
    <w:rsid w:val="0091174A"/>
    <w:rsid w:val="009129D7"/>
    <w:rsid w:val="00912ED6"/>
    <w:rsid w:val="00913B35"/>
    <w:rsid w:val="0091555B"/>
    <w:rsid w:val="009161F4"/>
    <w:rsid w:val="00923156"/>
    <w:rsid w:val="0092580F"/>
    <w:rsid w:val="009260FE"/>
    <w:rsid w:val="009269EF"/>
    <w:rsid w:val="00926A3F"/>
    <w:rsid w:val="009270DB"/>
    <w:rsid w:val="00930BE2"/>
    <w:rsid w:val="00932477"/>
    <w:rsid w:val="00935E2D"/>
    <w:rsid w:val="00936B78"/>
    <w:rsid w:val="009405FF"/>
    <w:rsid w:val="00945C97"/>
    <w:rsid w:val="00946AFE"/>
    <w:rsid w:val="009503F6"/>
    <w:rsid w:val="009514FA"/>
    <w:rsid w:val="00951C5D"/>
    <w:rsid w:val="00953FAF"/>
    <w:rsid w:val="00955DD6"/>
    <w:rsid w:val="00956ED3"/>
    <w:rsid w:val="00960456"/>
    <w:rsid w:val="009675E5"/>
    <w:rsid w:val="0097024A"/>
    <w:rsid w:val="00974F3B"/>
    <w:rsid w:val="009805D4"/>
    <w:rsid w:val="0098155A"/>
    <w:rsid w:val="009833F2"/>
    <w:rsid w:val="00983C5D"/>
    <w:rsid w:val="00987E61"/>
    <w:rsid w:val="009913EF"/>
    <w:rsid w:val="0099448B"/>
    <w:rsid w:val="009A3B4E"/>
    <w:rsid w:val="009A708E"/>
    <w:rsid w:val="009B4EEF"/>
    <w:rsid w:val="009B50AD"/>
    <w:rsid w:val="009B67E5"/>
    <w:rsid w:val="009C050C"/>
    <w:rsid w:val="009C1D12"/>
    <w:rsid w:val="009D2DC3"/>
    <w:rsid w:val="009D3E44"/>
    <w:rsid w:val="009E1D7F"/>
    <w:rsid w:val="009E2F35"/>
    <w:rsid w:val="009E5B0E"/>
    <w:rsid w:val="009E5C40"/>
    <w:rsid w:val="009E6C79"/>
    <w:rsid w:val="009F1439"/>
    <w:rsid w:val="009F1FEA"/>
    <w:rsid w:val="009F4604"/>
    <w:rsid w:val="009F4615"/>
    <w:rsid w:val="00A12B59"/>
    <w:rsid w:val="00A134A0"/>
    <w:rsid w:val="00A13DA4"/>
    <w:rsid w:val="00A13DE2"/>
    <w:rsid w:val="00A233FE"/>
    <w:rsid w:val="00A237F4"/>
    <w:rsid w:val="00A24CD6"/>
    <w:rsid w:val="00A24F12"/>
    <w:rsid w:val="00A26297"/>
    <w:rsid w:val="00A27883"/>
    <w:rsid w:val="00A27C9E"/>
    <w:rsid w:val="00A332A5"/>
    <w:rsid w:val="00A3428E"/>
    <w:rsid w:val="00A34546"/>
    <w:rsid w:val="00A35F4C"/>
    <w:rsid w:val="00A371B6"/>
    <w:rsid w:val="00A4056D"/>
    <w:rsid w:val="00A41583"/>
    <w:rsid w:val="00A42B6E"/>
    <w:rsid w:val="00A43244"/>
    <w:rsid w:val="00A43441"/>
    <w:rsid w:val="00A4585F"/>
    <w:rsid w:val="00A45BBB"/>
    <w:rsid w:val="00A464CD"/>
    <w:rsid w:val="00A47056"/>
    <w:rsid w:val="00A47704"/>
    <w:rsid w:val="00A51C21"/>
    <w:rsid w:val="00A51CB9"/>
    <w:rsid w:val="00A52842"/>
    <w:rsid w:val="00A53DDE"/>
    <w:rsid w:val="00A55B4E"/>
    <w:rsid w:val="00A55B93"/>
    <w:rsid w:val="00A621E5"/>
    <w:rsid w:val="00A629B7"/>
    <w:rsid w:val="00A70332"/>
    <w:rsid w:val="00A726FF"/>
    <w:rsid w:val="00A77A31"/>
    <w:rsid w:val="00A8031A"/>
    <w:rsid w:val="00A82E52"/>
    <w:rsid w:val="00A82E98"/>
    <w:rsid w:val="00A841E7"/>
    <w:rsid w:val="00A94DED"/>
    <w:rsid w:val="00A96082"/>
    <w:rsid w:val="00A9697F"/>
    <w:rsid w:val="00A969CC"/>
    <w:rsid w:val="00AA13E0"/>
    <w:rsid w:val="00AA2BD4"/>
    <w:rsid w:val="00AA4BBE"/>
    <w:rsid w:val="00AA5339"/>
    <w:rsid w:val="00AA5B5A"/>
    <w:rsid w:val="00AA6395"/>
    <w:rsid w:val="00AA6A11"/>
    <w:rsid w:val="00AA6FDE"/>
    <w:rsid w:val="00AB0CAE"/>
    <w:rsid w:val="00AB1FFC"/>
    <w:rsid w:val="00AB2086"/>
    <w:rsid w:val="00AB4050"/>
    <w:rsid w:val="00AB66A7"/>
    <w:rsid w:val="00AC0B67"/>
    <w:rsid w:val="00AC3BC0"/>
    <w:rsid w:val="00AC5970"/>
    <w:rsid w:val="00AC5F4A"/>
    <w:rsid w:val="00AD7E39"/>
    <w:rsid w:val="00AE02A4"/>
    <w:rsid w:val="00AE36D5"/>
    <w:rsid w:val="00AE3B3F"/>
    <w:rsid w:val="00AF2014"/>
    <w:rsid w:val="00AF244E"/>
    <w:rsid w:val="00AF2B7D"/>
    <w:rsid w:val="00AF7C7F"/>
    <w:rsid w:val="00B02487"/>
    <w:rsid w:val="00B03C53"/>
    <w:rsid w:val="00B06B6D"/>
    <w:rsid w:val="00B104D9"/>
    <w:rsid w:val="00B12F3F"/>
    <w:rsid w:val="00B13B5D"/>
    <w:rsid w:val="00B13BFF"/>
    <w:rsid w:val="00B165B7"/>
    <w:rsid w:val="00B17DAA"/>
    <w:rsid w:val="00B21A6D"/>
    <w:rsid w:val="00B23E10"/>
    <w:rsid w:val="00B241E3"/>
    <w:rsid w:val="00B2491E"/>
    <w:rsid w:val="00B254A3"/>
    <w:rsid w:val="00B25CA5"/>
    <w:rsid w:val="00B25EE4"/>
    <w:rsid w:val="00B32B54"/>
    <w:rsid w:val="00B33C2B"/>
    <w:rsid w:val="00B349DD"/>
    <w:rsid w:val="00B3566D"/>
    <w:rsid w:val="00B37EDE"/>
    <w:rsid w:val="00B40903"/>
    <w:rsid w:val="00B41B43"/>
    <w:rsid w:val="00B41F49"/>
    <w:rsid w:val="00B43E0B"/>
    <w:rsid w:val="00B443B1"/>
    <w:rsid w:val="00B453F2"/>
    <w:rsid w:val="00B50C01"/>
    <w:rsid w:val="00B52095"/>
    <w:rsid w:val="00B52D33"/>
    <w:rsid w:val="00B53680"/>
    <w:rsid w:val="00B559CE"/>
    <w:rsid w:val="00B55BAF"/>
    <w:rsid w:val="00B561E4"/>
    <w:rsid w:val="00B5673A"/>
    <w:rsid w:val="00B613E1"/>
    <w:rsid w:val="00B6408F"/>
    <w:rsid w:val="00B66028"/>
    <w:rsid w:val="00B72FEB"/>
    <w:rsid w:val="00B74900"/>
    <w:rsid w:val="00B807D6"/>
    <w:rsid w:val="00B8419E"/>
    <w:rsid w:val="00B851A6"/>
    <w:rsid w:val="00B90CBE"/>
    <w:rsid w:val="00B92070"/>
    <w:rsid w:val="00B92D13"/>
    <w:rsid w:val="00B95372"/>
    <w:rsid w:val="00B9755C"/>
    <w:rsid w:val="00BA074A"/>
    <w:rsid w:val="00BB16BC"/>
    <w:rsid w:val="00BB4C4B"/>
    <w:rsid w:val="00BB6F19"/>
    <w:rsid w:val="00BC2867"/>
    <w:rsid w:val="00BC5A54"/>
    <w:rsid w:val="00BD0586"/>
    <w:rsid w:val="00BD39C1"/>
    <w:rsid w:val="00BD767F"/>
    <w:rsid w:val="00BE22FC"/>
    <w:rsid w:val="00BE2666"/>
    <w:rsid w:val="00BE2695"/>
    <w:rsid w:val="00BE3B23"/>
    <w:rsid w:val="00BE3BCD"/>
    <w:rsid w:val="00BE6DB0"/>
    <w:rsid w:val="00BF0238"/>
    <w:rsid w:val="00BF3506"/>
    <w:rsid w:val="00BF743F"/>
    <w:rsid w:val="00C0210A"/>
    <w:rsid w:val="00C03FC8"/>
    <w:rsid w:val="00C04821"/>
    <w:rsid w:val="00C07786"/>
    <w:rsid w:val="00C103FC"/>
    <w:rsid w:val="00C11347"/>
    <w:rsid w:val="00C15A4D"/>
    <w:rsid w:val="00C22811"/>
    <w:rsid w:val="00C24520"/>
    <w:rsid w:val="00C24F55"/>
    <w:rsid w:val="00C25086"/>
    <w:rsid w:val="00C25318"/>
    <w:rsid w:val="00C258B2"/>
    <w:rsid w:val="00C30A2B"/>
    <w:rsid w:val="00C331D9"/>
    <w:rsid w:val="00C339BB"/>
    <w:rsid w:val="00C3482D"/>
    <w:rsid w:val="00C351FA"/>
    <w:rsid w:val="00C3567F"/>
    <w:rsid w:val="00C35CC8"/>
    <w:rsid w:val="00C375DB"/>
    <w:rsid w:val="00C41374"/>
    <w:rsid w:val="00C41799"/>
    <w:rsid w:val="00C41E12"/>
    <w:rsid w:val="00C427BF"/>
    <w:rsid w:val="00C428DC"/>
    <w:rsid w:val="00C42E59"/>
    <w:rsid w:val="00C43F45"/>
    <w:rsid w:val="00C44814"/>
    <w:rsid w:val="00C44E19"/>
    <w:rsid w:val="00C4610E"/>
    <w:rsid w:val="00C51E51"/>
    <w:rsid w:val="00C538AA"/>
    <w:rsid w:val="00C54462"/>
    <w:rsid w:val="00C57CE0"/>
    <w:rsid w:val="00C633C6"/>
    <w:rsid w:val="00C65AD3"/>
    <w:rsid w:val="00C665C2"/>
    <w:rsid w:val="00C7111B"/>
    <w:rsid w:val="00C73F56"/>
    <w:rsid w:val="00C80E70"/>
    <w:rsid w:val="00C92D7A"/>
    <w:rsid w:val="00C93CB9"/>
    <w:rsid w:val="00C973BA"/>
    <w:rsid w:val="00C97FAE"/>
    <w:rsid w:val="00CA303C"/>
    <w:rsid w:val="00CA50ED"/>
    <w:rsid w:val="00CA6FE9"/>
    <w:rsid w:val="00CA76FF"/>
    <w:rsid w:val="00CB2AC3"/>
    <w:rsid w:val="00CB3B9E"/>
    <w:rsid w:val="00CB4025"/>
    <w:rsid w:val="00CB458F"/>
    <w:rsid w:val="00CB57A3"/>
    <w:rsid w:val="00CC2F7A"/>
    <w:rsid w:val="00CC761C"/>
    <w:rsid w:val="00CC768F"/>
    <w:rsid w:val="00CC7CF6"/>
    <w:rsid w:val="00CD4629"/>
    <w:rsid w:val="00CD48FB"/>
    <w:rsid w:val="00CD4EF7"/>
    <w:rsid w:val="00CD54D8"/>
    <w:rsid w:val="00CE2748"/>
    <w:rsid w:val="00CE3DF5"/>
    <w:rsid w:val="00CE4A02"/>
    <w:rsid w:val="00CE750E"/>
    <w:rsid w:val="00CF1872"/>
    <w:rsid w:val="00CF4DA3"/>
    <w:rsid w:val="00CF4F01"/>
    <w:rsid w:val="00CF7428"/>
    <w:rsid w:val="00D01275"/>
    <w:rsid w:val="00D03978"/>
    <w:rsid w:val="00D05EA3"/>
    <w:rsid w:val="00D06F6E"/>
    <w:rsid w:val="00D139CA"/>
    <w:rsid w:val="00D149DE"/>
    <w:rsid w:val="00D14C37"/>
    <w:rsid w:val="00D20B1C"/>
    <w:rsid w:val="00D24A9A"/>
    <w:rsid w:val="00D32CE8"/>
    <w:rsid w:val="00D34231"/>
    <w:rsid w:val="00D36E84"/>
    <w:rsid w:val="00D41F65"/>
    <w:rsid w:val="00D432A3"/>
    <w:rsid w:val="00D439EE"/>
    <w:rsid w:val="00D43CA2"/>
    <w:rsid w:val="00D441DE"/>
    <w:rsid w:val="00D45FD3"/>
    <w:rsid w:val="00D462D7"/>
    <w:rsid w:val="00D468E2"/>
    <w:rsid w:val="00D55065"/>
    <w:rsid w:val="00D55A7C"/>
    <w:rsid w:val="00D55E38"/>
    <w:rsid w:val="00D606F9"/>
    <w:rsid w:val="00D6098C"/>
    <w:rsid w:val="00D669AC"/>
    <w:rsid w:val="00D676C5"/>
    <w:rsid w:val="00D707F4"/>
    <w:rsid w:val="00D7086C"/>
    <w:rsid w:val="00D75538"/>
    <w:rsid w:val="00D77629"/>
    <w:rsid w:val="00D77BA6"/>
    <w:rsid w:val="00D809B6"/>
    <w:rsid w:val="00D81EB9"/>
    <w:rsid w:val="00D909E6"/>
    <w:rsid w:val="00D925CC"/>
    <w:rsid w:val="00D92F95"/>
    <w:rsid w:val="00D92FB6"/>
    <w:rsid w:val="00D93470"/>
    <w:rsid w:val="00D95CFA"/>
    <w:rsid w:val="00D97565"/>
    <w:rsid w:val="00DA15CE"/>
    <w:rsid w:val="00DA1C95"/>
    <w:rsid w:val="00DA4A1E"/>
    <w:rsid w:val="00DA5CE7"/>
    <w:rsid w:val="00DA73EC"/>
    <w:rsid w:val="00DA7AFC"/>
    <w:rsid w:val="00DB2EF9"/>
    <w:rsid w:val="00DB3BDC"/>
    <w:rsid w:val="00DB4B21"/>
    <w:rsid w:val="00DB7531"/>
    <w:rsid w:val="00DC0D88"/>
    <w:rsid w:val="00DC27FB"/>
    <w:rsid w:val="00DC3404"/>
    <w:rsid w:val="00DC4028"/>
    <w:rsid w:val="00DD4CBA"/>
    <w:rsid w:val="00DD5130"/>
    <w:rsid w:val="00DE154E"/>
    <w:rsid w:val="00DE38A2"/>
    <w:rsid w:val="00DE7463"/>
    <w:rsid w:val="00DF2074"/>
    <w:rsid w:val="00DF2C35"/>
    <w:rsid w:val="00DF438F"/>
    <w:rsid w:val="00DF4494"/>
    <w:rsid w:val="00DF627E"/>
    <w:rsid w:val="00DF77BF"/>
    <w:rsid w:val="00E005EC"/>
    <w:rsid w:val="00E134C7"/>
    <w:rsid w:val="00E1427C"/>
    <w:rsid w:val="00E156F7"/>
    <w:rsid w:val="00E15903"/>
    <w:rsid w:val="00E16DCC"/>
    <w:rsid w:val="00E1716B"/>
    <w:rsid w:val="00E17C67"/>
    <w:rsid w:val="00E248E9"/>
    <w:rsid w:val="00E25BBA"/>
    <w:rsid w:val="00E27057"/>
    <w:rsid w:val="00E32A65"/>
    <w:rsid w:val="00E33860"/>
    <w:rsid w:val="00E342EF"/>
    <w:rsid w:val="00E3431E"/>
    <w:rsid w:val="00E345F5"/>
    <w:rsid w:val="00E34939"/>
    <w:rsid w:val="00E352B8"/>
    <w:rsid w:val="00E3674E"/>
    <w:rsid w:val="00E37868"/>
    <w:rsid w:val="00E41616"/>
    <w:rsid w:val="00E433FF"/>
    <w:rsid w:val="00E455E8"/>
    <w:rsid w:val="00E463C6"/>
    <w:rsid w:val="00E479F5"/>
    <w:rsid w:val="00E47ACD"/>
    <w:rsid w:val="00E47B2B"/>
    <w:rsid w:val="00E50327"/>
    <w:rsid w:val="00E52290"/>
    <w:rsid w:val="00E53297"/>
    <w:rsid w:val="00E54644"/>
    <w:rsid w:val="00E54EA7"/>
    <w:rsid w:val="00E60FD8"/>
    <w:rsid w:val="00E74880"/>
    <w:rsid w:val="00E765E1"/>
    <w:rsid w:val="00E77149"/>
    <w:rsid w:val="00E800E8"/>
    <w:rsid w:val="00E81D37"/>
    <w:rsid w:val="00E87016"/>
    <w:rsid w:val="00E87401"/>
    <w:rsid w:val="00E90F42"/>
    <w:rsid w:val="00E92FE1"/>
    <w:rsid w:val="00E9338C"/>
    <w:rsid w:val="00E95A41"/>
    <w:rsid w:val="00E95AD5"/>
    <w:rsid w:val="00E97291"/>
    <w:rsid w:val="00EA0453"/>
    <w:rsid w:val="00EA238D"/>
    <w:rsid w:val="00EA2454"/>
    <w:rsid w:val="00EA4664"/>
    <w:rsid w:val="00EA4B7E"/>
    <w:rsid w:val="00EA53AB"/>
    <w:rsid w:val="00EA5859"/>
    <w:rsid w:val="00EA714C"/>
    <w:rsid w:val="00EB0394"/>
    <w:rsid w:val="00EB489B"/>
    <w:rsid w:val="00EB7CB4"/>
    <w:rsid w:val="00EC040B"/>
    <w:rsid w:val="00EC0874"/>
    <w:rsid w:val="00EC1910"/>
    <w:rsid w:val="00EC3881"/>
    <w:rsid w:val="00EC4571"/>
    <w:rsid w:val="00EC51B3"/>
    <w:rsid w:val="00EC61D9"/>
    <w:rsid w:val="00EC7ABB"/>
    <w:rsid w:val="00ED09CB"/>
    <w:rsid w:val="00ED141C"/>
    <w:rsid w:val="00ED1709"/>
    <w:rsid w:val="00ED2CDF"/>
    <w:rsid w:val="00ED3059"/>
    <w:rsid w:val="00ED3325"/>
    <w:rsid w:val="00ED3E3C"/>
    <w:rsid w:val="00ED42F2"/>
    <w:rsid w:val="00ED537E"/>
    <w:rsid w:val="00ED7621"/>
    <w:rsid w:val="00EE2A68"/>
    <w:rsid w:val="00EE4A18"/>
    <w:rsid w:val="00EE65E1"/>
    <w:rsid w:val="00EE7104"/>
    <w:rsid w:val="00EF457C"/>
    <w:rsid w:val="00EF5FE9"/>
    <w:rsid w:val="00EF7AAF"/>
    <w:rsid w:val="00F01E50"/>
    <w:rsid w:val="00F1267B"/>
    <w:rsid w:val="00F14A65"/>
    <w:rsid w:val="00F17869"/>
    <w:rsid w:val="00F218DD"/>
    <w:rsid w:val="00F231DC"/>
    <w:rsid w:val="00F24F34"/>
    <w:rsid w:val="00F31068"/>
    <w:rsid w:val="00F322E0"/>
    <w:rsid w:val="00F345C4"/>
    <w:rsid w:val="00F35159"/>
    <w:rsid w:val="00F36370"/>
    <w:rsid w:val="00F3660E"/>
    <w:rsid w:val="00F36E29"/>
    <w:rsid w:val="00F40F3A"/>
    <w:rsid w:val="00F45149"/>
    <w:rsid w:val="00F4698D"/>
    <w:rsid w:val="00F517F5"/>
    <w:rsid w:val="00F54072"/>
    <w:rsid w:val="00F60AFF"/>
    <w:rsid w:val="00F61D0C"/>
    <w:rsid w:val="00F63293"/>
    <w:rsid w:val="00F63E49"/>
    <w:rsid w:val="00F66316"/>
    <w:rsid w:val="00F7099C"/>
    <w:rsid w:val="00F7148A"/>
    <w:rsid w:val="00F75AED"/>
    <w:rsid w:val="00F8242E"/>
    <w:rsid w:val="00F839CE"/>
    <w:rsid w:val="00F84B39"/>
    <w:rsid w:val="00F86CE5"/>
    <w:rsid w:val="00F90ACD"/>
    <w:rsid w:val="00F9197A"/>
    <w:rsid w:val="00F94252"/>
    <w:rsid w:val="00F94739"/>
    <w:rsid w:val="00F95B33"/>
    <w:rsid w:val="00F95C0F"/>
    <w:rsid w:val="00F96900"/>
    <w:rsid w:val="00FA3A88"/>
    <w:rsid w:val="00FA429A"/>
    <w:rsid w:val="00FA5551"/>
    <w:rsid w:val="00FB3167"/>
    <w:rsid w:val="00FB724D"/>
    <w:rsid w:val="00FC268F"/>
    <w:rsid w:val="00FC43E7"/>
    <w:rsid w:val="00FC5025"/>
    <w:rsid w:val="00FC511E"/>
    <w:rsid w:val="00FC5B6C"/>
    <w:rsid w:val="00FC7422"/>
    <w:rsid w:val="00FD056B"/>
    <w:rsid w:val="00FD5DCF"/>
    <w:rsid w:val="00FD6C1E"/>
    <w:rsid w:val="00FE1506"/>
    <w:rsid w:val="00FE23A0"/>
    <w:rsid w:val="00FE2D0A"/>
    <w:rsid w:val="00FE7A90"/>
    <w:rsid w:val="00FE7F89"/>
    <w:rsid w:val="00FF1CA1"/>
    <w:rsid w:val="00FF23EE"/>
    <w:rsid w:val="00FF5A2F"/>
    <w:rsid w:val="01597078"/>
    <w:rsid w:val="01EF37C4"/>
    <w:rsid w:val="0215097A"/>
    <w:rsid w:val="0238647F"/>
    <w:rsid w:val="025640C2"/>
    <w:rsid w:val="02BC0EA5"/>
    <w:rsid w:val="04431C31"/>
    <w:rsid w:val="05274EB9"/>
    <w:rsid w:val="054854FD"/>
    <w:rsid w:val="0638474A"/>
    <w:rsid w:val="06394C4C"/>
    <w:rsid w:val="06E67904"/>
    <w:rsid w:val="06F03CBC"/>
    <w:rsid w:val="087B3368"/>
    <w:rsid w:val="09092F40"/>
    <w:rsid w:val="09D91FC6"/>
    <w:rsid w:val="09EC2E95"/>
    <w:rsid w:val="0A415E04"/>
    <w:rsid w:val="0AE64924"/>
    <w:rsid w:val="0B544B4E"/>
    <w:rsid w:val="0BFC5FCF"/>
    <w:rsid w:val="0C156350"/>
    <w:rsid w:val="0C23300B"/>
    <w:rsid w:val="0F0D1137"/>
    <w:rsid w:val="102F41F1"/>
    <w:rsid w:val="10FB7E94"/>
    <w:rsid w:val="111852C0"/>
    <w:rsid w:val="112F555A"/>
    <w:rsid w:val="12602E63"/>
    <w:rsid w:val="130C581D"/>
    <w:rsid w:val="15C04B62"/>
    <w:rsid w:val="16715D33"/>
    <w:rsid w:val="18BA69D9"/>
    <w:rsid w:val="1B7C06E8"/>
    <w:rsid w:val="1BAA2AE1"/>
    <w:rsid w:val="1BE35DEC"/>
    <w:rsid w:val="20B84BE0"/>
    <w:rsid w:val="20C0471B"/>
    <w:rsid w:val="21F41568"/>
    <w:rsid w:val="2286629B"/>
    <w:rsid w:val="22FF57C4"/>
    <w:rsid w:val="239D3DB0"/>
    <w:rsid w:val="23C024FE"/>
    <w:rsid w:val="245D44B1"/>
    <w:rsid w:val="2485725E"/>
    <w:rsid w:val="24A51CE1"/>
    <w:rsid w:val="25251B41"/>
    <w:rsid w:val="254361D9"/>
    <w:rsid w:val="269426D3"/>
    <w:rsid w:val="274572BA"/>
    <w:rsid w:val="29955C89"/>
    <w:rsid w:val="29F03F29"/>
    <w:rsid w:val="2B1F1C4D"/>
    <w:rsid w:val="2D6E29A6"/>
    <w:rsid w:val="2E466561"/>
    <w:rsid w:val="2E914F4D"/>
    <w:rsid w:val="2F8E0CA2"/>
    <w:rsid w:val="2FA41356"/>
    <w:rsid w:val="304D1C11"/>
    <w:rsid w:val="30AE0E8A"/>
    <w:rsid w:val="32033BC2"/>
    <w:rsid w:val="3248407D"/>
    <w:rsid w:val="32F112B8"/>
    <w:rsid w:val="34523A58"/>
    <w:rsid w:val="35055CF1"/>
    <w:rsid w:val="353C4720"/>
    <w:rsid w:val="36303072"/>
    <w:rsid w:val="36574A0C"/>
    <w:rsid w:val="386243AA"/>
    <w:rsid w:val="388106A3"/>
    <w:rsid w:val="39261B69"/>
    <w:rsid w:val="39683E0B"/>
    <w:rsid w:val="3A9206A6"/>
    <w:rsid w:val="3AC407CC"/>
    <w:rsid w:val="3B8001B0"/>
    <w:rsid w:val="3C8329AB"/>
    <w:rsid w:val="3D3838E7"/>
    <w:rsid w:val="3D56335D"/>
    <w:rsid w:val="3FBF67F3"/>
    <w:rsid w:val="3FED4EEF"/>
    <w:rsid w:val="412A7199"/>
    <w:rsid w:val="41FC5CC5"/>
    <w:rsid w:val="448A522A"/>
    <w:rsid w:val="46192643"/>
    <w:rsid w:val="46CC7892"/>
    <w:rsid w:val="470B1104"/>
    <w:rsid w:val="48C7763B"/>
    <w:rsid w:val="4B5B3EA5"/>
    <w:rsid w:val="4C765675"/>
    <w:rsid w:val="4DC95690"/>
    <w:rsid w:val="4E0E7087"/>
    <w:rsid w:val="4F6626F4"/>
    <w:rsid w:val="5018008A"/>
    <w:rsid w:val="50AD2B1A"/>
    <w:rsid w:val="53815540"/>
    <w:rsid w:val="546D1B00"/>
    <w:rsid w:val="54861731"/>
    <w:rsid w:val="549A21E7"/>
    <w:rsid w:val="56585BD2"/>
    <w:rsid w:val="56AB7810"/>
    <w:rsid w:val="57055D18"/>
    <w:rsid w:val="58C56CD2"/>
    <w:rsid w:val="59552C95"/>
    <w:rsid w:val="59CE1D99"/>
    <w:rsid w:val="59D83C42"/>
    <w:rsid w:val="59DD14E0"/>
    <w:rsid w:val="5A4C20A4"/>
    <w:rsid w:val="5A7C7C8B"/>
    <w:rsid w:val="5B2613D8"/>
    <w:rsid w:val="5B2C2C77"/>
    <w:rsid w:val="5BBC320D"/>
    <w:rsid w:val="5C3046E3"/>
    <w:rsid w:val="5DB272ED"/>
    <w:rsid w:val="5F005210"/>
    <w:rsid w:val="62F65665"/>
    <w:rsid w:val="63130445"/>
    <w:rsid w:val="63372D91"/>
    <w:rsid w:val="63DF71B7"/>
    <w:rsid w:val="63E0407F"/>
    <w:rsid w:val="64080421"/>
    <w:rsid w:val="64256875"/>
    <w:rsid w:val="643759D2"/>
    <w:rsid w:val="64574667"/>
    <w:rsid w:val="64786ED1"/>
    <w:rsid w:val="64844C77"/>
    <w:rsid w:val="65301590"/>
    <w:rsid w:val="65417E9D"/>
    <w:rsid w:val="65A76C32"/>
    <w:rsid w:val="66D56F5E"/>
    <w:rsid w:val="680237A5"/>
    <w:rsid w:val="6A7D1330"/>
    <w:rsid w:val="6DA21238"/>
    <w:rsid w:val="6ED3704A"/>
    <w:rsid w:val="6F4C7950"/>
    <w:rsid w:val="6F5449A6"/>
    <w:rsid w:val="6FA87557"/>
    <w:rsid w:val="6FFE2424"/>
    <w:rsid w:val="701756D3"/>
    <w:rsid w:val="70297BAC"/>
    <w:rsid w:val="705C69F6"/>
    <w:rsid w:val="71680E4F"/>
    <w:rsid w:val="7173632D"/>
    <w:rsid w:val="71803501"/>
    <w:rsid w:val="727C5239"/>
    <w:rsid w:val="728A1CEC"/>
    <w:rsid w:val="72A5099C"/>
    <w:rsid w:val="73411687"/>
    <w:rsid w:val="73CE1AF1"/>
    <w:rsid w:val="74483133"/>
    <w:rsid w:val="746D77FC"/>
    <w:rsid w:val="74803D06"/>
    <w:rsid w:val="74F41097"/>
    <w:rsid w:val="75F5691E"/>
    <w:rsid w:val="763B1111"/>
    <w:rsid w:val="77240FC1"/>
    <w:rsid w:val="773B14D5"/>
    <w:rsid w:val="79587A9A"/>
    <w:rsid w:val="799A1DCF"/>
    <w:rsid w:val="79FE23E4"/>
    <w:rsid w:val="7A987579"/>
    <w:rsid w:val="7ABE13ED"/>
    <w:rsid w:val="7ACF6EE4"/>
    <w:rsid w:val="7B207E27"/>
    <w:rsid w:val="7BED0670"/>
    <w:rsid w:val="7D607BBD"/>
    <w:rsid w:val="7D64095E"/>
    <w:rsid w:val="7D786150"/>
    <w:rsid w:val="7DB80BD3"/>
    <w:rsid w:val="7F1229B9"/>
    <w:rsid w:val="7F3970F8"/>
    <w:rsid w:val="7F4A1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5"/>
    <w:unhideWhenUsed/>
    <w:qFormat/>
    <w:uiPriority w:val="99"/>
    <w:rPr>
      <w:b/>
      <w:bCs/>
    </w:rPr>
  </w:style>
  <w:style w:type="paragraph" w:styleId="6">
    <w:name w:val="annotation text"/>
    <w:basedOn w:val="1"/>
    <w:link w:val="54"/>
    <w:unhideWhenUsed/>
    <w:qFormat/>
    <w:uiPriority w:val="99"/>
    <w:pPr>
      <w:jc w:val="left"/>
    </w:pPr>
  </w:style>
  <w:style w:type="paragraph" w:styleId="7">
    <w:name w:val="Document Map"/>
    <w:basedOn w:val="1"/>
    <w:link w:val="56"/>
    <w:unhideWhenUsed/>
    <w:qFormat/>
    <w:uiPriority w:val="99"/>
    <w:rPr>
      <w:rFonts w:ascii="宋体" w:eastAsia="宋体"/>
      <w:sz w:val="18"/>
      <w:szCs w:val="18"/>
    </w:r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Date"/>
    <w:basedOn w:val="1"/>
    <w:next w:val="1"/>
    <w:link w:val="36"/>
    <w:unhideWhenUsed/>
    <w:qFormat/>
    <w:uiPriority w:val="99"/>
    <w:pPr>
      <w:ind w:left="100" w:leftChars="2500"/>
    </w:pPr>
  </w:style>
  <w:style w:type="paragraph" w:styleId="10">
    <w:name w:val="Balloon Text"/>
    <w:basedOn w:val="1"/>
    <w:link w:val="35"/>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toc 2"/>
    <w:basedOn w:val="1"/>
    <w:next w:val="1"/>
    <w:unhideWhenUsed/>
    <w:qFormat/>
    <w:uiPriority w:val="39"/>
    <w:pPr>
      <w:widowControl/>
      <w:spacing w:after="100" w:line="276" w:lineRule="auto"/>
      <w:ind w:left="220"/>
      <w:jc w:val="left"/>
    </w:pPr>
    <w:rPr>
      <w:kern w:val="0"/>
      <w:sz w:val="22"/>
    </w:rPr>
  </w:style>
  <w:style w:type="character" w:styleId="16">
    <w:name w:val="Strong"/>
    <w:basedOn w:val="15"/>
    <w:qFormat/>
    <w:uiPriority w:val="22"/>
    <w:rPr>
      <w:b/>
    </w:rPr>
  </w:style>
  <w:style w:type="character" w:styleId="17">
    <w:name w:val="FollowedHyperlink"/>
    <w:basedOn w:val="15"/>
    <w:unhideWhenUsed/>
    <w:qFormat/>
    <w:uiPriority w:val="99"/>
    <w:rPr>
      <w:color w:val="338DE6"/>
      <w:u w:val="none"/>
    </w:rPr>
  </w:style>
  <w:style w:type="character" w:styleId="18">
    <w:name w:val="Emphasis"/>
    <w:basedOn w:val="15"/>
    <w:qFormat/>
    <w:uiPriority w:val="20"/>
  </w:style>
  <w:style w:type="character" w:styleId="19">
    <w:name w:val="HTML Definition"/>
    <w:basedOn w:val="15"/>
    <w:unhideWhenUsed/>
    <w:qFormat/>
    <w:uiPriority w:val="99"/>
    <w:rPr>
      <w:color w:val="2932E1"/>
    </w:rPr>
  </w:style>
  <w:style w:type="character" w:styleId="20">
    <w:name w:val="HTML Variable"/>
    <w:basedOn w:val="15"/>
    <w:unhideWhenUsed/>
    <w:qFormat/>
    <w:uiPriority w:val="99"/>
    <w:rPr>
      <w:shd w:val="clear" w:color="auto" w:fill="A9B8CE"/>
    </w:rPr>
  </w:style>
  <w:style w:type="character" w:styleId="21">
    <w:name w:val="Hyperlink"/>
    <w:basedOn w:val="15"/>
    <w:unhideWhenUsed/>
    <w:qFormat/>
    <w:uiPriority w:val="99"/>
    <w:rPr>
      <w:color w:val="0000FF" w:themeColor="hyperlink"/>
      <w:u w:val="single"/>
      <w14:textFill>
        <w14:solidFill>
          <w14:schemeClr w14:val="hlink"/>
        </w14:solidFill>
      </w14:textFill>
    </w:rPr>
  </w:style>
  <w:style w:type="character" w:styleId="22">
    <w:name w:val="HTML Code"/>
    <w:basedOn w:val="15"/>
    <w:unhideWhenUsed/>
    <w:qFormat/>
    <w:uiPriority w:val="99"/>
    <w:rPr>
      <w:rFonts w:ascii="monospace" w:hAnsi="monospace" w:eastAsia="monospace" w:cs="monospace"/>
      <w:sz w:val="21"/>
      <w:szCs w:val="21"/>
    </w:rPr>
  </w:style>
  <w:style w:type="character" w:styleId="23">
    <w:name w:val="annotation reference"/>
    <w:basedOn w:val="15"/>
    <w:unhideWhenUsed/>
    <w:qFormat/>
    <w:uiPriority w:val="99"/>
    <w:rPr>
      <w:sz w:val="21"/>
      <w:szCs w:val="21"/>
    </w:rPr>
  </w:style>
  <w:style w:type="character" w:styleId="24">
    <w:name w:val="HTML Cite"/>
    <w:basedOn w:val="15"/>
    <w:unhideWhenUsed/>
    <w:qFormat/>
    <w:uiPriority w:val="99"/>
  </w:style>
  <w:style w:type="character" w:styleId="25">
    <w:name w:val="HTML Keyboard"/>
    <w:basedOn w:val="15"/>
    <w:unhideWhenUsed/>
    <w:qFormat/>
    <w:uiPriority w:val="99"/>
    <w:rPr>
      <w:rFonts w:hint="default" w:ascii="monospace" w:hAnsi="monospace" w:eastAsia="monospace" w:cs="monospace"/>
      <w:sz w:val="21"/>
      <w:szCs w:val="21"/>
    </w:rPr>
  </w:style>
  <w:style w:type="character" w:styleId="26">
    <w:name w:val="HTML Sample"/>
    <w:basedOn w:val="15"/>
    <w:unhideWhenUsed/>
    <w:qFormat/>
    <w:uiPriority w:val="99"/>
    <w:rPr>
      <w:rFonts w:hint="default" w:ascii="monospace" w:hAnsi="monospace" w:eastAsia="monospace" w:cs="monospace"/>
      <w:sz w:val="21"/>
      <w:szCs w:val="21"/>
    </w:rPr>
  </w:style>
  <w:style w:type="character" w:customStyle="1" w:styleId="28">
    <w:name w:val="页眉 Char"/>
    <w:basedOn w:val="15"/>
    <w:link w:val="12"/>
    <w:qFormat/>
    <w:uiPriority w:val="99"/>
    <w:rPr>
      <w:sz w:val="18"/>
      <w:szCs w:val="18"/>
    </w:rPr>
  </w:style>
  <w:style w:type="character" w:customStyle="1" w:styleId="29">
    <w:name w:val="页脚 Char"/>
    <w:basedOn w:val="15"/>
    <w:link w:val="11"/>
    <w:qFormat/>
    <w:uiPriority w:val="99"/>
    <w:rPr>
      <w:sz w:val="18"/>
      <w:szCs w:val="18"/>
    </w:rPr>
  </w:style>
  <w:style w:type="paragraph" w:customStyle="1" w:styleId="30">
    <w:name w:val="列出段落1"/>
    <w:basedOn w:val="1"/>
    <w:qFormat/>
    <w:uiPriority w:val="34"/>
    <w:pPr>
      <w:ind w:firstLine="420" w:firstLineChars="200"/>
    </w:pPr>
  </w:style>
  <w:style w:type="character" w:customStyle="1" w:styleId="31">
    <w:name w:val="标题 1 Char"/>
    <w:basedOn w:val="15"/>
    <w:link w:val="2"/>
    <w:qFormat/>
    <w:uiPriority w:val="9"/>
    <w:rPr>
      <w:b/>
      <w:bCs/>
      <w:kern w:val="44"/>
      <w:sz w:val="44"/>
      <w:szCs w:val="44"/>
    </w:rPr>
  </w:style>
  <w:style w:type="character" w:customStyle="1" w:styleId="32">
    <w:name w:val="标题 2 Char"/>
    <w:basedOn w:val="15"/>
    <w:link w:val="3"/>
    <w:qFormat/>
    <w:uiPriority w:val="9"/>
    <w:rPr>
      <w:rFonts w:asciiTheme="majorHAnsi" w:hAnsiTheme="majorHAnsi" w:eastAsiaTheme="majorEastAsia" w:cstheme="majorBidi"/>
      <w:b/>
      <w:bCs/>
      <w:sz w:val="32"/>
      <w:szCs w:val="32"/>
    </w:rPr>
  </w:style>
  <w:style w:type="character" w:customStyle="1" w:styleId="33">
    <w:name w:val="标题 3 Char"/>
    <w:basedOn w:val="15"/>
    <w:link w:val="4"/>
    <w:qFormat/>
    <w:uiPriority w:val="9"/>
    <w:rPr>
      <w:b/>
      <w:bCs/>
      <w:sz w:val="32"/>
      <w:szCs w:val="32"/>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5"/>
    <w:link w:val="10"/>
    <w:semiHidden/>
    <w:qFormat/>
    <w:uiPriority w:val="99"/>
    <w:rPr>
      <w:sz w:val="18"/>
      <w:szCs w:val="18"/>
    </w:rPr>
  </w:style>
  <w:style w:type="character" w:customStyle="1" w:styleId="36">
    <w:name w:val="日期 Char"/>
    <w:basedOn w:val="15"/>
    <w:link w:val="9"/>
    <w:semiHidden/>
    <w:qFormat/>
    <w:uiPriority w:val="99"/>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24"/>
      <w:szCs w:val="24"/>
    </w:rPr>
  </w:style>
  <w:style w:type="paragraph" w:customStyle="1" w:styleId="39">
    <w:name w:val="xl69"/>
    <w:basedOn w:val="1"/>
    <w:qFormat/>
    <w:uiPriority w:val="0"/>
    <w:pPr>
      <w:widowControl/>
      <w:shd w:val="clear" w:color="000000" w:fill="FFFFFF"/>
      <w:spacing w:before="100" w:beforeAutospacing="1" w:after="100" w:afterAutospacing="1"/>
      <w:jc w:val="left"/>
      <w:textAlignment w:val="bottom"/>
    </w:pPr>
    <w:rPr>
      <w:rFonts w:ascii="Arial" w:hAnsi="Arial" w:eastAsia="宋体" w:cs="Arial"/>
      <w:kern w:val="0"/>
      <w:sz w:val="20"/>
      <w:szCs w:val="20"/>
    </w:rPr>
  </w:style>
  <w:style w:type="paragraph" w:customStyle="1" w:styleId="4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eastAsia="宋体" w:cs="Arial"/>
      <w:kern w:val="0"/>
      <w:sz w:val="20"/>
      <w:szCs w:val="20"/>
    </w:rPr>
  </w:style>
  <w:style w:type="paragraph" w:customStyle="1" w:styleId="42">
    <w:name w:val="xl7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bottom"/>
    </w:pPr>
    <w:rPr>
      <w:rFonts w:ascii="Arial" w:hAnsi="Arial" w:eastAsia="宋体" w:cs="Arial"/>
      <w:kern w:val="0"/>
      <w:sz w:val="20"/>
      <w:szCs w:val="20"/>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eastAsia="宋体" w:cs="Arial"/>
      <w:b/>
      <w:bCs/>
      <w:kern w:val="0"/>
      <w:sz w:val="20"/>
      <w:szCs w:val="20"/>
    </w:rPr>
  </w:style>
  <w:style w:type="paragraph" w:customStyle="1" w:styleId="46">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bottom"/>
    </w:pPr>
    <w:rPr>
      <w:rFonts w:ascii="Arial" w:hAnsi="Arial" w:eastAsia="宋体" w:cs="Arial"/>
      <w:b/>
      <w:bCs/>
      <w:kern w:val="0"/>
      <w:sz w:val="20"/>
      <w:szCs w:val="20"/>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24"/>
      <w:szCs w:val="24"/>
    </w:rPr>
  </w:style>
  <w:style w:type="paragraph" w:customStyle="1" w:styleId="48">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bottom"/>
    </w:pPr>
    <w:rPr>
      <w:rFonts w:ascii="Arial" w:hAnsi="Arial" w:eastAsia="宋体" w:cs="Arial"/>
      <w:kern w:val="0"/>
      <w:sz w:val="20"/>
      <w:szCs w:val="20"/>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bottom"/>
    </w:pPr>
    <w:rPr>
      <w:rFonts w:ascii="宋体" w:hAnsi="宋体" w:eastAsia="宋体" w:cs="宋体"/>
      <w:kern w:val="0"/>
      <w:sz w:val="24"/>
      <w:szCs w:val="24"/>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54">
    <w:name w:val="批注文字 Char"/>
    <w:basedOn w:val="15"/>
    <w:link w:val="6"/>
    <w:semiHidden/>
    <w:qFormat/>
    <w:uiPriority w:val="99"/>
  </w:style>
  <w:style w:type="character" w:customStyle="1" w:styleId="55">
    <w:name w:val="批注主题 Char"/>
    <w:basedOn w:val="54"/>
    <w:link w:val="5"/>
    <w:semiHidden/>
    <w:qFormat/>
    <w:uiPriority w:val="99"/>
    <w:rPr>
      <w:b/>
      <w:bCs/>
    </w:rPr>
  </w:style>
  <w:style w:type="character" w:customStyle="1" w:styleId="56">
    <w:name w:val="文档结构图 Char"/>
    <w:basedOn w:val="15"/>
    <w:link w:val="7"/>
    <w:semiHidden/>
    <w:qFormat/>
    <w:uiPriority w:val="99"/>
    <w:rPr>
      <w:rFonts w:ascii="宋体" w:eastAsia="宋体"/>
      <w:sz w:val="18"/>
      <w:szCs w:val="18"/>
    </w:rPr>
  </w:style>
  <w:style w:type="paragraph" w:customStyle="1" w:styleId="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24"/>
      <w:szCs w:val="24"/>
    </w:rPr>
  </w:style>
  <w:style w:type="paragraph" w:customStyle="1" w:styleId="58">
    <w:name w:val="xl65"/>
    <w:basedOn w:val="1"/>
    <w:qFormat/>
    <w:uiPriority w:val="0"/>
    <w:pPr>
      <w:widowControl/>
      <w:pBdr>
        <w:bottom w:val="dotted"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9">
    <w:name w:val="xl67"/>
    <w:basedOn w:val="1"/>
    <w:qFormat/>
    <w:uiPriority w:val="0"/>
    <w:pPr>
      <w:widowControl/>
      <w:pBdr>
        <w:bottom w:val="dotted" w:color="auto" w:sz="4" w:space="0"/>
        <w:right w:val="dotted"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60">
    <w:name w:val="xl84"/>
    <w:basedOn w:val="1"/>
    <w:qFormat/>
    <w:uiPriority w:val="0"/>
    <w:pPr>
      <w:widowControl/>
      <w:pBdr>
        <w:left w:val="dotted" w:color="auto" w:sz="4" w:space="0"/>
        <w:bottom w:val="dotted" w:color="auto" w:sz="4" w:space="0"/>
        <w:right w:val="dotted"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1">
    <w:name w:val="xl85"/>
    <w:basedOn w:val="1"/>
    <w:qFormat/>
    <w:uiPriority w:val="0"/>
    <w:pPr>
      <w:widowControl/>
      <w:pBdr>
        <w:top w:val="dotted" w:color="auto" w:sz="4" w:space="0"/>
        <w:right w:val="dotted"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2">
    <w:name w:val="xl86"/>
    <w:basedOn w:val="1"/>
    <w:qFormat/>
    <w:uiPriority w:val="0"/>
    <w:pPr>
      <w:widowControl/>
      <w:pBdr>
        <w:right w:val="dotted"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3">
    <w:name w:val="xl87"/>
    <w:basedOn w:val="1"/>
    <w:qFormat/>
    <w:uiPriority w:val="0"/>
    <w:pPr>
      <w:widowControl/>
      <w:pBdr>
        <w:bottom w:val="single" w:color="auto" w:sz="8" w:space="0"/>
        <w:right w:val="dotted"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4">
    <w:name w:val="xl63"/>
    <w:basedOn w:val="1"/>
    <w:qFormat/>
    <w:uiPriority w:val="0"/>
    <w:pPr>
      <w:widowControl/>
      <w:pBdr>
        <w:bottom w:val="dotted"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5">
    <w:name w:val="xl64"/>
    <w:basedOn w:val="1"/>
    <w:qFormat/>
    <w:uiPriority w:val="0"/>
    <w:pPr>
      <w:widowControl/>
      <w:pBdr>
        <w:bottom w:val="dotted" w:color="auto" w:sz="4" w:space="0"/>
        <w:right w:val="dotted" w:color="auto" w:sz="4" w:space="0"/>
      </w:pBdr>
      <w:spacing w:before="100" w:beforeAutospacing="1" w:after="100" w:afterAutospacing="1"/>
      <w:jc w:val="center"/>
      <w:textAlignment w:val="center"/>
    </w:pPr>
    <w:rPr>
      <w:rFonts w:ascii="宋体" w:hAnsi="宋体" w:eastAsia="宋体" w:cs="宋体"/>
      <w:b/>
      <w:bCs/>
      <w:color w:val="000000"/>
      <w:kern w:val="0"/>
      <w:sz w:val="24"/>
      <w:szCs w:val="24"/>
    </w:rPr>
  </w:style>
  <w:style w:type="character" w:customStyle="1" w:styleId="66">
    <w:name w:val="fontborder"/>
    <w:basedOn w:val="15"/>
    <w:qFormat/>
    <w:uiPriority w:val="0"/>
    <w:rPr>
      <w:bdr w:val="single" w:color="000000" w:sz="6" w:space="0"/>
    </w:rPr>
  </w:style>
  <w:style w:type="character" w:customStyle="1" w:styleId="67">
    <w:name w:val="fontstrikethrough"/>
    <w:basedOn w:val="15"/>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F0A1C-6B3C-4A3B-B49D-47613B2E49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1876</Words>
  <Characters>10695</Characters>
  <Lines>89</Lines>
  <Paragraphs>25</Paragraphs>
  <ScaleCrop>false</ScaleCrop>
  <LinksUpToDate>false</LinksUpToDate>
  <CharactersWithSpaces>12546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2014-06-12T00:42:00Z</dcterms:created>
  <dc:creator>Microsoft</dc:creator>
  <cp:lastModifiedBy>Administrator</cp:lastModifiedBy>
  <cp:lastPrinted>2017-06-30T02:35:00Z</cp:lastPrinted>
  <dcterms:modified xsi:type="dcterms:W3CDTF">2017-06-30T08:50:32Z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